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12" w:rsidRPr="00BC45FE" w:rsidRDefault="00910D12" w:rsidP="00BC45FE">
      <w:pPr>
        <w:pStyle w:val="Heading1"/>
        <w:jc w:val="center"/>
        <w:rPr>
          <w:color w:val="002060"/>
        </w:rPr>
      </w:pPr>
      <w:r w:rsidRPr="00BC45FE">
        <w:rPr>
          <w:color w:val="002060"/>
        </w:rPr>
        <w:t>Twenty Macleay Street Limited</w:t>
      </w:r>
    </w:p>
    <w:p w:rsidR="00BC45FE" w:rsidRPr="00BC45FE" w:rsidRDefault="00BC45FE" w:rsidP="00BC45FE"/>
    <w:p w:rsidR="00910D12" w:rsidRPr="004A5284" w:rsidRDefault="00910D12" w:rsidP="00BC45FE">
      <w:pPr>
        <w:pStyle w:val="Title"/>
      </w:pPr>
      <w:r w:rsidRPr="004A5284">
        <w:t>Report to Shareholders</w:t>
      </w:r>
      <w:r>
        <w:t>: 2016</w:t>
      </w:r>
    </w:p>
    <w:p w:rsidR="004746AB" w:rsidRDefault="00337A62" w:rsidP="00337A62">
      <w:r>
        <w:t>This year marks the 80</w:t>
      </w:r>
      <w:r w:rsidRPr="00337A62">
        <w:rPr>
          <w:vertAlign w:val="superscript"/>
        </w:rPr>
        <w:t>th</w:t>
      </w:r>
      <w:r>
        <w:t xml:space="preserve"> anniversary of the opening of the building at 20 Macleay St Potts Point: “Twenty”</w:t>
      </w:r>
      <w:r w:rsidR="005B3D5D">
        <w:t>.  Formally</w:t>
      </w:r>
      <w:r>
        <w:t xml:space="preserve"> mark</w:t>
      </w:r>
      <w:r w:rsidR="005B3D5D">
        <w:t>ing the occasion, your</w:t>
      </w:r>
      <w:r>
        <w:t xml:space="preserve"> directors have </w:t>
      </w:r>
      <w:r w:rsidR="002260A6">
        <w:t xml:space="preserve">decided it is high time to recognise the true value of the company’s largest asset, our building, in the company’s accounts.  So this year, for the first time, we’ve </w:t>
      </w:r>
      <w:r>
        <w:t xml:space="preserve">established an Asset Revaluation Reserve in the company’s </w:t>
      </w:r>
      <w:r w:rsidR="002260A6">
        <w:t>balance sheet</w:t>
      </w:r>
      <w:r>
        <w:t>, recognising the substantial increase in the</w:t>
      </w:r>
      <w:r w:rsidR="004746AB">
        <w:t xml:space="preserve"> value of “Twenty”, with</w:t>
      </w:r>
      <w:r>
        <w:t xml:space="preserve"> a </w:t>
      </w:r>
      <w:r w:rsidR="004746AB">
        <w:t xml:space="preserve">current </w:t>
      </w:r>
      <w:r>
        <w:t xml:space="preserve">market value of $38,500,000.  </w:t>
      </w:r>
    </w:p>
    <w:p w:rsidR="004746AB" w:rsidRDefault="00337A62" w:rsidP="00337A62">
      <w:r>
        <w:t>For several years the board has monitored the</w:t>
      </w:r>
      <w:r w:rsidR="005B3D5D">
        <w:t xml:space="preserve"> strong appreciation </w:t>
      </w:r>
      <w:r w:rsidR="002260A6">
        <w:t>of the property,</w:t>
      </w:r>
      <w:r>
        <w:t xml:space="preserve"> based on sale of shares in the company from 2009 to the present.  In this </w:t>
      </w:r>
      <w:r w:rsidR="00C035A9">
        <w:t xml:space="preserve">relatively short </w:t>
      </w:r>
      <w:r>
        <w:t>time, the value of the building has</w:t>
      </w:r>
      <w:r w:rsidR="005B3D5D">
        <w:t xml:space="preserve"> increased by over 50%.</w:t>
      </w:r>
      <w:r w:rsidR="00002A3B">
        <w:t xml:space="preserve">  While this gain is to some extent related to a general uplift in residential property prices in </w:t>
      </w:r>
      <w:r w:rsidR="002260A6">
        <w:t xml:space="preserve">Sydney in </w:t>
      </w:r>
      <w:r w:rsidR="00002A3B">
        <w:t>recent years, the company’s investments in subst</w:t>
      </w:r>
      <w:r w:rsidR="00A36C23">
        <w:t xml:space="preserve">antial improvements has </w:t>
      </w:r>
      <w:r w:rsidR="00002A3B">
        <w:t>made a material contribution to the increased value.</w:t>
      </w:r>
    </w:p>
    <w:p w:rsidR="00337A62" w:rsidRDefault="004746AB" w:rsidP="00337A62">
      <w:r>
        <w:t>From a longer term perspective, since the company’s incorporation in the 1950s, the current market value represents a compound annual growth rate of 7.7% a year, on a consistent basis over a 60 year period.   These results should give all shareholders good reason to celebrate Twenty’s 80</w:t>
      </w:r>
      <w:r w:rsidRPr="004746AB">
        <w:rPr>
          <w:vertAlign w:val="superscript"/>
        </w:rPr>
        <w:t>th</w:t>
      </w:r>
      <w:r>
        <w:t xml:space="preserve"> birthday!</w:t>
      </w:r>
    </w:p>
    <w:p w:rsidR="005B3D5D" w:rsidRDefault="005B3D5D" w:rsidP="00337A62">
      <w:r>
        <w:t xml:space="preserve">As usual, this year’s Report sets out the major milestones </w:t>
      </w:r>
      <w:r w:rsidR="00C035A9">
        <w:t xml:space="preserve">and activities </w:t>
      </w:r>
      <w:r>
        <w:t>of the past year and provides guidance on the budget and plans for the year ahead.</w:t>
      </w:r>
    </w:p>
    <w:p w:rsidR="005B3D5D" w:rsidRPr="00BC45FE" w:rsidRDefault="007A0B5D" w:rsidP="00BC45FE">
      <w:pPr>
        <w:pStyle w:val="Title"/>
        <w:rPr>
          <w:sz w:val="32"/>
          <w:szCs w:val="32"/>
        </w:rPr>
      </w:pPr>
      <w:r>
        <w:rPr>
          <w:sz w:val="32"/>
          <w:szCs w:val="32"/>
        </w:rPr>
        <w:t>House Management</w:t>
      </w:r>
      <w:r w:rsidR="005B3D5D" w:rsidRPr="00BC45FE">
        <w:rPr>
          <w:sz w:val="32"/>
          <w:szCs w:val="32"/>
        </w:rPr>
        <w:t xml:space="preserve"> Committee</w:t>
      </w:r>
    </w:p>
    <w:p w:rsidR="002260A6" w:rsidRDefault="005B3D5D" w:rsidP="00337A62">
      <w:r>
        <w:t xml:space="preserve">With the resignation of David Whitfield in February, this Committee has since operated with </w:t>
      </w:r>
      <w:r w:rsidR="009C231F">
        <w:t>three continuing</w:t>
      </w:r>
      <w:r>
        <w:t xml:space="preserve"> directors: Barbara Stewart, Malcolm Richardson and Mark McDonnell.</w:t>
      </w:r>
      <w:r w:rsidR="009C231F">
        <w:t xml:space="preserve">  As in other years, t</w:t>
      </w:r>
      <w:r>
        <w:t xml:space="preserve">he main activity has been to interview new shareholders and tenants.  </w:t>
      </w:r>
    </w:p>
    <w:p w:rsidR="003B2794" w:rsidRDefault="005B3D5D" w:rsidP="00337A62">
      <w:r>
        <w:t>During the year we bade farewell</w:t>
      </w:r>
      <w:r w:rsidR="009C231F">
        <w:t xml:space="preserve"> to two</w:t>
      </w:r>
      <w:r>
        <w:t xml:space="preserve"> long-standing resident shareholders</w:t>
      </w:r>
      <w:r w:rsidR="009C231F">
        <w:t xml:space="preserve"> who sadly died since our last AGM: Tony Fernandez (U45) and </w:t>
      </w:r>
      <w:r w:rsidR="00BC7E63">
        <w:t>G. D. (</w:t>
      </w:r>
      <w:r w:rsidR="009C231F">
        <w:t>John</w:t>
      </w:r>
      <w:r w:rsidR="00BC7E63">
        <w:t>)</w:t>
      </w:r>
      <w:r w:rsidR="009C231F">
        <w:t xml:space="preserve"> Meston (U6).  </w:t>
      </w:r>
      <w:r w:rsidR="003B2794">
        <w:t>Another long-standing shareholder, Ella F</w:t>
      </w:r>
      <w:r w:rsidR="00C035A9">
        <w:t>ahey (U52) also died last</w:t>
      </w:r>
      <w:r w:rsidR="003B2794">
        <w:t xml:space="preserve"> year</w:t>
      </w:r>
      <w:r w:rsidR="00C035A9">
        <w:t>, giving rise to a third deceased estate transaction at “</w:t>
      </w:r>
      <w:r w:rsidR="002260A6">
        <w:t>Twenty” in recent times.</w:t>
      </w:r>
      <w:r w:rsidR="00F0570B">
        <w:t xml:space="preserve">  Mrs Fahey and her family had been shareholders since 1958.</w:t>
      </w:r>
    </w:p>
    <w:p w:rsidR="00C035A9" w:rsidRPr="00C035A9" w:rsidRDefault="00115443" w:rsidP="00337A62">
      <w:r>
        <w:t>Directors are heartene</w:t>
      </w:r>
      <w:r w:rsidR="00F0570B">
        <w:t xml:space="preserve">d by comments from </w:t>
      </w:r>
      <w:r w:rsidR="00C035A9">
        <w:t xml:space="preserve">the late Mrs </w:t>
      </w:r>
      <w:r>
        <w:t>Ella Fahey</w:t>
      </w:r>
      <w:r w:rsidR="00C035A9">
        <w:t>’s daughter</w:t>
      </w:r>
      <w:r>
        <w:t xml:space="preserve"> who remarked: </w:t>
      </w:r>
      <w:r w:rsidRPr="00C035A9">
        <w:rPr>
          <w:i/>
        </w:rPr>
        <w:t>“Can I take this opportunity to congratulate the board on the improvements to 20 Macleay. I saw the agents' reviews from some years ago which were not great, however when we rang a number of them recently to enquire as to our unit's value they were unanimous in their praise of the building and the works being done....</w:t>
      </w:r>
      <w:r w:rsidR="00C035A9" w:rsidRPr="00C035A9">
        <w:rPr>
          <w:i/>
        </w:rPr>
        <w:t xml:space="preserve"> </w:t>
      </w:r>
      <w:r w:rsidRPr="00C035A9">
        <w:rPr>
          <w:i/>
        </w:rPr>
        <w:t xml:space="preserve">we are very impressed. </w:t>
      </w:r>
      <w:r w:rsidR="00C035A9" w:rsidRPr="00C035A9">
        <w:rPr>
          <w:i/>
        </w:rPr>
        <w:t>“</w:t>
      </w:r>
      <w:r w:rsidR="00F0570B">
        <w:t xml:space="preserve">  </w:t>
      </w:r>
    </w:p>
    <w:p w:rsidR="002260A6" w:rsidRDefault="002260A6" w:rsidP="002260A6">
      <w:r>
        <w:t>We welcome as new shareholders Anna Guillan (U45) and John Chalmers</w:t>
      </w:r>
      <w:r w:rsidR="00BC7E63">
        <w:t xml:space="preserve"> with Danielle Collins</w:t>
      </w:r>
      <w:r>
        <w:t xml:space="preserve"> (U6).  In the case of U52, an existing shareholder</w:t>
      </w:r>
      <w:r w:rsidR="00A36C23">
        <w:t xml:space="preserve"> (Hugh Murray-Walker) jointly</w:t>
      </w:r>
      <w:r>
        <w:t xml:space="preserve"> with Michael Connolly, </w:t>
      </w:r>
      <w:r>
        <w:lastRenderedPageBreak/>
        <w:t>were approved as the new lot shareholders.</w:t>
      </w:r>
      <w:r w:rsidR="0023335D">
        <w:t xml:space="preserve">  </w:t>
      </w:r>
      <w:r>
        <w:t xml:space="preserve">Mr and Mrs Hardman (U53) </w:t>
      </w:r>
      <w:r w:rsidR="00F0570B">
        <w:t xml:space="preserve">also </w:t>
      </w:r>
      <w:r>
        <w:t>sold their shares towards the end of 2015 and we have since welcomed</w:t>
      </w:r>
      <w:r w:rsidRPr="002260A6">
        <w:t xml:space="preserve"> </w:t>
      </w:r>
      <w:r>
        <w:t>Dr Sally Preston as the new lot shareholder in this case.</w:t>
      </w:r>
    </w:p>
    <w:p w:rsidR="009C231F" w:rsidRDefault="009C231F" w:rsidP="00337A62">
      <w:r>
        <w:t>In ad</w:t>
      </w:r>
      <w:r w:rsidR="003B0E95">
        <w:t>dition</w:t>
      </w:r>
      <w:r w:rsidR="00C035A9">
        <w:t xml:space="preserve"> to new shareholders</w:t>
      </w:r>
      <w:r w:rsidR="003B0E95">
        <w:t>, we have seen about a dozen</w:t>
      </w:r>
      <w:r>
        <w:t xml:space="preserve"> new tenants take up residency</w:t>
      </w:r>
      <w:r w:rsidR="003B0E95">
        <w:t xml:space="preserve"> at “Twenty” </w:t>
      </w:r>
      <w:r w:rsidR="00F0570B">
        <w:t xml:space="preserve">in the last 12 months </w:t>
      </w:r>
      <w:r w:rsidR="003B0E95">
        <w:t>and the Committee</w:t>
      </w:r>
      <w:r w:rsidR="006F05D2">
        <w:t xml:space="preserve"> has been busy reviewing applications and conducting interviews</w:t>
      </w:r>
      <w:r w:rsidR="003B0E95">
        <w:t xml:space="preserve">.   Despite these checks, </w:t>
      </w:r>
      <w:r w:rsidR="0075425C">
        <w:t>as reported last year, t</w:t>
      </w:r>
      <w:r w:rsidR="00115443">
        <w:t>here are occasional</w:t>
      </w:r>
      <w:r w:rsidR="0075425C">
        <w:t xml:space="preserve"> instance</w:t>
      </w:r>
      <w:r w:rsidR="00115443">
        <w:t>s</w:t>
      </w:r>
      <w:r w:rsidR="003B0E95">
        <w:t xml:space="preserve"> of unacceptable behaviour</w:t>
      </w:r>
      <w:r w:rsidR="00115443">
        <w:t xml:space="preserve"> </w:t>
      </w:r>
      <w:r w:rsidR="00C035A9">
        <w:t xml:space="preserve">from tenants </w:t>
      </w:r>
      <w:r w:rsidR="00115443">
        <w:t>including one case in 2016 similar to the circumstance we reported last year, involving</w:t>
      </w:r>
      <w:r w:rsidR="0075425C">
        <w:t xml:space="preserve"> domestic violence</w:t>
      </w:r>
      <w:r w:rsidR="00C035A9">
        <w:t xml:space="preserve">, </w:t>
      </w:r>
      <w:r w:rsidR="003B0E95">
        <w:t xml:space="preserve">police interventions, arrests and </w:t>
      </w:r>
      <w:r w:rsidR="0075425C">
        <w:t>subsequent removal of</w:t>
      </w:r>
      <w:r w:rsidR="00115443">
        <w:t xml:space="preserve"> the tenants</w:t>
      </w:r>
      <w:r w:rsidR="003B0E95">
        <w:t xml:space="preserve"> concerned as </w:t>
      </w:r>
      <w:r w:rsidR="00DB4E65">
        <w:t>residents.  The co-operation of</w:t>
      </w:r>
      <w:r w:rsidR="00115443">
        <w:t xml:space="preserve"> shareholders and residents in reporting such instances</w:t>
      </w:r>
      <w:r w:rsidR="00C035A9">
        <w:t xml:space="preserve"> to police</w:t>
      </w:r>
      <w:r w:rsidR="00115443">
        <w:t xml:space="preserve">, and of </w:t>
      </w:r>
      <w:r w:rsidR="003B0E95">
        <w:t>local real estate agents in ensuring the prompt re-location of the offending parties</w:t>
      </w:r>
      <w:r w:rsidR="00115443">
        <w:t>,</w:t>
      </w:r>
      <w:r w:rsidR="003B0E95">
        <w:t xml:space="preserve"> has been a silver linin</w:t>
      </w:r>
      <w:r w:rsidR="00910D12">
        <w:t>g to</w:t>
      </w:r>
      <w:r w:rsidR="003B0E95">
        <w:t xml:space="preserve"> these otherwise regrettable incidents.</w:t>
      </w:r>
    </w:p>
    <w:p w:rsidR="003B0E95" w:rsidRDefault="003B0E95" w:rsidP="00337A62">
      <w:r>
        <w:t xml:space="preserve">A further </w:t>
      </w:r>
      <w:r w:rsidR="00115443">
        <w:t xml:space="preserve">problematic </w:t>
      </w:r>
      <w:r>
        <w:t>case, caused by the son of a shareholder</w:t>
      </w:r>
      <w:r w:rsidR="006F05D2">
        <w:t xml:space="preserve"> </w:t>
      </w:r>
      <w:r w:rsidR="0075425C">
        <w:t xml:space="preserve">living in an apartment </w:t>
      </w:r>
      <w:r w:rsidR="006F05D2">
        <w:t>on the ground floor</w:t>
      </w:r>
      <w:r>
        <w:t>, resulted in a 3 am emergency call out by the Kin</w:t>
      </w:r>
      <w:r w:rsidR="00F0570B">
        <w:t>gs Cross Fire Brigade.  F</w:t>
      </w:r>
      <w:r>
        <w:t>ortunately the alarm system worked effectively</w:t>
      </w:r>
      <w:r w:rsidR="0075425C">
        <w:t>, response was rapid</w:t>
      </w:r>
      <w:r>
        <w:t xml:space="preserve"> and no damage occurred in </w:t>
      </w:r>
      <w:r w:rsidR="0075425C">
        <w:t xml:space="preserve">or to </w:t>
      </w:r>
      <w:r>
        <w:t>the apartment</w:t>
      </w:r>
      <w:r w:rsidR="0075425C">
        <w:t xml:space="preserve"> concerned</w:t>
      </w:r>
      <w:r w:rsidR="00F0570B">
        <w:t>.  In reviewing this incident</w:t>
      </w:r>
      <w:r>
        <w:t>, the board has agreed to a tightening of the Rental Policy and Guidelines, applicable to adult family members of shareholders, requiring full compliance with</w:t>
      </w:r>
      <w:r w:rsidR="00C035A9">
        <w:t xml:space="preserve"> company r</w:t>
      </w:r>
      <w:r>
        <w:t>u</w:t>
      </w:r>
      <w:r w:rsidR="00C035A9">
        <w:t>l</w:t>
      </w:r>
      <w:r>
        <w:t xml:space="preserve">es and policies.  This has since been put into effect and no further problems have arisen.  </w:t>
      </w:r>
    </w:p>
    <w:p w:rsidR="006F05D2" w:rsidRDefault="006F05D2" w:rsidP="00337A62">
      <w:r>
        <w:t>Another area for extra vigilance has arisen where shareholders have allowed short term rentals; this practice in not condoned by the board and has since stopped.  Some cases of unauthorised sub-letting, including through use of Airbnb and similar websites, have also been identified and action taken to ensure the practice has been discontinued.</w:t>
      </w:r>
    </w:p>
    <w:p w:rsidR="00365FA4" w:rsidRDefault="006F05D2" w:rsidP="00337A62">
      <w:r>
        <w:t>We take this opportunity to remind shareholders that  residency at “Twenty” is reserved exclusively for shareholders and their immediate families and, in specifically approved cases, for other, longer term residents approved by directors, where rental is allowed.  Abuses of this policy will not be tolerated.</w:t>
      </w:r>
    </w:p>
    <w:p w:rsidR="00910D12" w:rsidRDefault="00365FA4" w:rsidP="00337A62">
      <w:r>
        <w:t>Use of the emergency access key was</w:t>
      </w:r>
      <w:r w:rsidR="0075425C">
        <w:t xml:space="preserve"> again</w:t>
      </w:r>
      <w:r>
        <w:t xml:space="preserve"> required</w:t>
      </w:r>
      <w:r w:rsidR="006F05D2">
        <w:t xml:space="preserve">  </w:t>
      </w:r>
      <w:r>
        <w:t>during the year, firstly in the case of U42, where the elderly resident shareholder, living alone, needed urgent medical attention and was taken to St Vincent’s Hospital by ambulance after access to the apartmen</w:t>
      </w:r>
      <w:r w:rsidR="00F0570B">
        <w:t>t was facilitated by director Richard Hambly</w:t>
      </w:r>
      <w:r w:rsidR="0075425C">
        <w:t xml:space="preserve"> using the emergency key</w:t>
      </w:r>
      <w:r>
        <w:t xml:space="preserve">.   Secondly, access to complete the annual fire safety inspection was made </w:t>
      </w:r>
      <w:r w:rsidR="001F53D2">
        <w:t xml:space="preserve">using </w:t>
      </w:r>
      <w:r>
        <w:t xml:space="preserve">the </w:t>
      </w:r>
      <w:r w:rsidR="0075425C">
        <w:t xml:space="preserve">emergency </w:t>
      </w:r>
      <w:r w:rsidR="001F53D2">
        <w:t>key</w:t>
      </w:r>
      <w:r w:rsidR="0075425C">
        <w:t xml:space="preserve"> to </w:t>
      </w:r>
      <w:r w:rsidR="00024F61">
        <w:t>units 21, 32</w:t>
      </w:r>
      <w:bookmarkStart w:id="0" w:name="_GoBack"/>
      <w:bookmarkEnd w:id="0"/>
      <w:r w:rsidR="001F53D2">
        <w:t xml:space="preserve"> and 45, after the shareholders and residents in these apartments failed to provide access on two separate occasions </w:t>
      </w:r>
      <w:r w:rsidR="005F3F98">
        <w:t>(</w:t>
      </w:r>
      <w:r w:rsidR="001F53D2">
        <w:t>despite prior notification</w:t>
      </w:r>
      <w:r w:rsidR="005F3F98">
        <w:t>)</w:t>
      </w:r>
      <w:r w:rsidR="001F53D2">
        <w:t xml:space="preserve">.  </w:t>
      </w:r>
      <w:r>
        <w:t xml:space="preserve"> </w:t>
      </w:r>
      <w:r w:rsidR="005F3F98">
        <w:t>In one case, this was due to the apartment being vacant at the time.</w:t>
      </w:r>
    </w:p>
    <w:p w:rsidR="00053438" w:rsidRDefault="00053438" w:rsidP="00053438">
      <w:r>
        <w:t>One additional task being undertaken by Malcolm Richardson for the House Management Committee is to conduct an audit on the use of bike racks at “Twenty”. Since the racks were installed in the northern courtyard a few years ago they have been used by various bike owning residents, with the racks usually full. Malcolm has been tracking down owners and seeking to identify any bikes which may have been abandoned by former residents.   In an environment where storage is scarce, the committee wishes to ensure fair and proper usage of the facility.</w:t>
      </w:r>
    </w:p>
    <w:p w:rsidR="00BC45FE" w:rsidRDefault="00BC45FE" w:rsidP="00337A62"/>
    <w:p w:rsidR="006F05D2" w:rsidRPr="00BC45FE" w:rsidRDefault="00F86951" w:rsidP="00BC45FE">
      <w:pPr>
        <w:pStyle w:val="Title"/>
        <w:rPr>
          <w:sz w:val="32"/>
          <w:szCs w:val="32"/>
        </w:rPr>
      </w:pPr>
      <w:r w:rsidRPr="00BC45FE">
        <w:rPr>
          <w:sz w:val="32"/>
          <w:szCs w:val="32"/>
        </w:rPr>
        <w:lastRenderedPageBreak/>
        <w:t>Building Maintenance Committee</w:t>
      </w:r>
    </w:p>
    <w:p w:rsidR="007748C4" w:rsidRDefault="007748C4" w:rsidP="00F86951">
      <w:r>
        <w:t>This committee comprises Keith Cottier (Convenor), Barbara Stewart, Richard Hambly, Mark McDonnell</w:t>
      </w:r>
      <w:r w:rsidR="009146F8">
        <w:t xml:space="preserve"> and, until he resigned</w:t>
      </w:r>
      <w:r>
        <w:t xml:space="preserve"> fro</w:t>
      </w:r>
      <w:r w:rsidR="009146F8">
        <w:t>m the Board, Hugh Murray-</w:t>
      </w:r>
      <w:r>
        <w:t>Walker.</w:t>
      </w:r>
    </w:p>
    <w:p w:rsidR="00F86951" w:rsidRDefault="00F86951" w:rsidP="00F86951">
      <w:r>
        <w:t xml:space="preserve">As shown in the Accounts for </w:t>
      </w:r>
      <w:r w:rsidR="004746AB">
        <w:t>2016, repairs and maintenance represents</w:t>
      </w:r>
      <w:r>
        <w:t xml:space="preserve"> the larges</w:t>
      </w:r>
      <w:r w:rsidR="00425A94">
        <w:t>t expense category</w:t>
      </w:r>
      <w:r>
        <w:t xml:space="preserve"> for the company.  </w:t>
      </w:r>
      <w:r w:rsidR="003B2757">
        <w:t xml:space="preserve">In December last the remedial work on the western façade was completed, including new brick ties, lintels, replacement windows on all floors above ground level and associated repairs, including to the interior of affected apartments at the front of the building (new window sills, painting and so on).  This project was the largest single expense </w:t>
      </w:r>
      <w:r w:rsidR="00F0570B">
        <w:t xml:space="preserve">incurred so far </w:t>
      </w:r>
      <w:r w:rsidR="003B2757">
        <w:t>in the company’s ten year capital works pr</w:t>
      </w:r>
      <w:r w:rsidR="00702FA5">
        <w:t>ogram and was completed</w:t>
      </w:r>
      <w:r w:rsidR="003B2757">
        <w:t xml:space="preserve"> below budget.  </w:t>
      </w:r>
    </w:p>
    <w:p w:rsidR="003B2757" w:rsidRDefault="00F0570B" w:rsidP="00F86951">
      <w:r>
        <w:t>The largest</w:t>
      </w:r>
      <w:r w:rsidR="003B2757">
        <w:t xml:space="preserve"> on-going </w:t>
      </w:r>
      <w:r>
        <w:t xml:space="preserve">maintenance </w:t>
      </w:r>
      <w:r w:rsidR="003B2757">
        <w:t xml:space="preserve">work is the replacement of old electrical wiring in the building under “phase 2”  of the program, which refers to new wiring </w:t>
      </w:r>
      <w:r>
        <w:t xml:space="preserve">from the riser </w:t>
      </w:r>
      <w:r w:rsidR="003B2757">
        <w:t>into each apartment and local switches for each unit b</w:t>
      </w:r>
      <w:r w:rsidR="009146F8">
        <w:t>eing relocated inside the unit</w:t>
      </w:r>
      <w:r w:rsidR="003B2757">
        <w:t xml:space="preserve">.  Once each floor is </w:t>
      </w:r>
      <w:r w:rsidR="00425A94">
        <w:t xml:space="preserve">finished, new meters are </w:t>
      </w:r>
      <w:r>
        <w:t xml:space="preserve">also being </w:t>
      </w:r>
      <w:r w:rsidR="00425A94">
        <w:t>installed in their existing location, in the stairwell landing cupboards.  Five of the eight floors at “Twenty” have been fully upgraded to phase 2 and the remaining three levels (3</w:t>
      </w:r>
      <w:r w:rsidR="00425A94" w:rsidRPr="00425A94">
        <w:rPr>
          <w:vertAlign w:val="superscript"/>
        </w:rPr>
        <w:t>rd</w:t>
      </w:r>
      <w:r w:rsidR="00425A94">
        <w:t>, 4</w:t>
      </w:r>
      <w:r w:rsidR="00425A94" w:rsidRPr="00425A94">
        <w:rPr>
          <w:vertAlign w:val="superscript"/>
        </w:rPr>
        <w:t>th</w:t>
      </w:r>
      <w:r w:rsidR="00425A94">
        <w:t xml:space="preserve"> and 5</w:t>
      </w:r>
      <w:r w:rsidR="00425A94" w:rsidRPr="00425A94">
        <w:rPr>
          <w:vertAlign w:val="superscript"/>
        </w:rPr>
        <w:t>th</w:t>
      </w:r>
      <w:r w:rsidR="00425A94">
        <w:t xml:space="preserve"> floors) should be completed over the next few months.</w:t>
      </w:r>
    </w:p>
    <w:p w:rsidR="00425A94" w:rsidRDefault="00425A94" w:rsidP="00F86951">
      <w:r>
        <w:t>Once each floor is finished to phase 2 stage, the hallway has been re-painted and the timber work restored and re-varnished, including, where necessary, replacing access doors to apartments.  Shareholders and residents were consulted on the colour scheme and the overwhelming majority of responses favoured the beige wall colour being applied.  We are delighted with the many positive comments relating to these improvements, which will continue as the electrical work progresses.</w:t>
      </w:r>
    </w:p>
    <w:p w:rsidR="00425A94" w:rsidRDefault="00425A94" w:rsidP="00F86951">
      <w:r>
        <w:t>Council approval was also sought and obtained to remove the old and peeling paint on the front façade of the building and a contract has been let to refresh the street facing frontage, including re-painting the entrance and vestibule area.</w:t>
      </w:r>
    </w:p>
    <w:p w:rsidR="007748C4" w:rsidRDefault="007748C4" w:rsidP="00F86951">
      <w:r>
        <w:t xml:space="preserve">Late last year, letters were sent to all shareholders expanding on the comments at last year’s AGM and in the 2015 Report to Shareholders, regarding the third and final phase of the electrical work, involving replacing old wiring inside individual apartments.  As stated in those letters, the work was scheduled to begin in 2017 and must be paid for by shareholders directly.   A number of shareholders have brought this work forward and phase 3 re-wiring </w:t>
      </w:r>
      <w:r w:rsidR="0023335D">
        <w:t>has been completed in ten apartments with several other</w:t>
      </w:r>
      <w:r>
        <w:t>s having been partly re-wired.  Directors are pleased with the progress being made ahead of schedule in this area</w:t>
      </w:r>
      <w:r w:rsidR="00A4691F">
        <w:t xml:space="preserve"> and thank the particular shareholders concerned for their pro-active approach to this important issue</w:t>
      </w:r>
      <w:r>
        <w:t xml:space="preserve">.  A focus on phase 3 re-wiring </w:t>
      </w:r>
      <w:r w:rsidR="00A4691F">
        <w:t xml:space="preserve">in remaining units </w:t>
      </w:r>
      <w:r>
        <w:t>will be a prominent pa</w:t>
      </w:r>
      <w:r w:rsidR="00A4691F">
        <w:t>rt of activity in the next two years.  Further updates will be sent to the relevant shareholders after this year’s Annual General Meeting including details on next steps in the program.</w:t>
      </w:r>
    </w:p>
    <w:p w:rsidR="00A4691F" w:rsidRDefault="00A4691F" w:rsidP="00F86951">
      <w:r>
        <w:t xml:space="preserve">During the year, directors accepted a proposal from Budden Nangle Michael and Hudson, architects, to prepare detailed architectural plans of “Twenty” in the year ahead. This overcomes a deficiency in the company’s records and will provide a useful resource for future planning.  Access to each apartment will be needed to ensure that the </w:t>
      </w:r>
      <w:r w:rsidR="00AE79E8">
        <w:t xml:space="preserve">necessary </w:t>
      </w:r>
      <w:r>
        <w:t>measurements and details can be accurately recorded.  Shareholders and residents will be co</w:t>
      </w:r>
      <w:r w:rsidR="00AE79E8">
        <w:t>nsulted further on the timing of unit</w:t>
      </w:r>
      <w:r>
        <w:t xml:space="preserve"> access for this purpose.</w:t>
      </w:r>
    </w:p>
    <w:p w:rsidR="00A4691F" w:rsidRDefault="00A4691F" w:rsidP="00F86951">
      <w:r>
        <w:lastRenderedPageBreak/>
        <w:t>As discussed in more detail in the Legal and Audit Committee section of this Report, some ear</w:t>
      </w:r>
      <w:r w:rsidR="00AE79E8">
        <w:t>ly preparatory work has been undertaken to consider longer term maintenance needs for “Twenty”, beyond the current ten year plan.  Keith Cottier on behalf of the BMC prepared a cyclical maintenance schedule, setting out a wide range of on-going maintenance tasks, their probable frequency and expected cost, so as to arrive at a broad estimate of average annual funding requirements from 2020.  This component of future budgets is expected to be around $100,000 a year.</w:t>
      </w:r>
    </w:p>
    <w:p w:rsidR="00AE79E8" w:rsidRDefault="00AE79E8" w:rsidP="00F86951">
      <w:r>
        <w:t xml:space="preserve">Another time consuming activity of the BMC over the last year has been to approve and over-sight a number of apartment renovations.  Directors are delighted with the response from shareholders to increase their investment in “Twenty” by way of quality renovation work to bathrooms, kitchens and more generally inside apartments.   There has been a notable increase in this activity over the last year, </w:t>
      </w:r>
      <w:r w:rsidR="00002A3B">
        <w:t xml:space="preserve">both </w:t>
      </w:r>
      <w:r w:rsidR="009146F8">
        <w:t xml:space="preserve">from </w:t>
      </w:r>
      <w:r w:rsidR="00002A3B">
        <w:t>new and long-standing shareholders.</w:t>
      </w:r>
    </w:p>
    <w:p w:rsidR="002D52CD" w:rsidRDefault="00EB663A" w:rsidP="00F86951">
      <w:r>
        <w:t xml:space="preserve">The </w:t>
      </w:r>
      <w:r w:rsidR="009146F8">
        <w:t>committee also dealt with a recurring problem with smoke collecting in the lower ground floor area when the diesel generator was tested each month.  On investigation it was found the chimney was blocked and appears not to have been swept for many years, if at all.  A large volume of debris was removed and the chimney now draws well, and new pipe connections were installed.  Smoke and fumes are no longer a problem inside the building.</w:t>
      </w:r>
    </w:p>
    <w:p w:rsidR="00931CEB" w:rsidRDefault="00931CEB" w:rsidP="00F86951">
      <w:r>
        <w:t>This year also saw the start of enhanced high speed broadband services being available at “Twenty”, as a result of a fibre to the basement (FTTB) installation made by Pipe Networks, a subsidiary of TPG Limited.  This is a</w:t>
      </w:r>
      <w:r w:rsidR="0023335D">
        <w:t xml:space="preserve"> wholesale service, so</w:t>
      </w:r>
      <w:r>
        <w:t xml:space="preserve"> a variety of companies are now offering 100Mbps </w:t>
      </w:r>
      <w:r w:rsidR="0023335D">
        <w:t xml:space="preserve">internet connectivity </w:t>
      </w:r>
      <w:r>
        <w:t>to residents at “Twenty”.  Directors have also notified NBNCo of our interest in that company also providing a FTTB service, so as to enhance the range of carriers offering high speed broadband to our shareholders and residents.</w:t>
      </w:r>
    </w:p>
    <w:p w:rsidR="006D76E8" w:rsidRDefault="006D76E8" w:rsidP="00BC45FE">
      <w:pPr>
        <w:pStyle w:val="Title"/>
        <w:rPr>
          <w:sz w:val="32"/>
          <w:szCs w:val="32"/>
        </w:rPr>
      </w:pPr>
    </w:p>
    <w:p w:rsidR="006D76E8" w:rsidRDefault="006D76E8" w:rsidP="00BC45FE">
      <w:pPr>
        <w:pStyle w:val="Title"/>
        <w:rPr>
          <w:sz w:val="32"/>
          <w:szCs w:val="32"/>
        </w:rPr>
      </w:pPr>
    </w:p>
    <w:p w:rsidR="006D76E8" w:rsidRDefault="006D76E8" w:rsidP="00BC45FE">
      <w:pPr>
        <w:pStyle w:val="Title"/>
        <w:rPr>
          <w:sz w:val="32"/>
          <w:szCs w:val="32"/>
        </w:rPr>
      </w:pPr>
    </w:p>
    <w:p w:rsidR="001E59B9" w:rsidRPr="00BC45FE" w:rsidRDefault="001E59B9" w:rsidP="00BC45FE">
      <w:pPr>
        <w:pStyle w:val="Title"/>
        <w:rPr>
          <w:sz w:val="32"/>
          <w:szCs w:val="32"/>
        </w:rPr>
      </w:pPr>
      <w:r w:rsidRPr="00BC45FE">
        <w:rPr>
          <w:sz w:val="32"/>
          <w:szCs w:val="32"/>
        </w:rPr>
        <w:t>Legal and Audit Committee</w:t>
      </w:r>
    </w:p>
    <w:p w:rsidR="001E59B9" w:rsidRDefault="0023335D" w:rsidP="001E59B9">
      <w:r>
        <w:t>In last year’s Report we</w:t>
      </w:r>
      <w:r w:rsidR="00EF339D">
        <w:t xml:space="preserve"> projected </w:t>
      </w:r>
      <w:r>
        <w:t xml:space="preserve">a </w:t>
      </w:r>
      <w:r w:rsidR="00EF339D">
        <w:t>c</w:t>
      </w:r>
      <w:r w:rsidR="006271DF">
        <w:t>ash position at 30 June 2016 of</w:t>
      </w:r>
      <w:r w:rsidR="00EF339D">
        <w:t xml:space="preserve"> $93,272.  The actual cash balance, as shown in the annual Accounts, was substantially higher, at $177,312.  In part this is due to withholding part payment on the western façade works, pending elapse of the 12 month defects liability period.  In part it is also due to a total cost for this work that was more than $20,000 below estim</w:t>
      </w:r>
      <w:r>
        <w:t>ate</w:t>
      </w:r>
      <w:r w:rsidR="00DD73F6">
        <w:t>d cost in last year’s budget as well as</w:t>
      </w:r>
      <w:r>
        <w:t xml:space="preserve"> a number of other gains within the budget</w:t>
      </w:r>
      <w:r w:rsidR="00DD73F6">
        <w:t>, detailed below</w:t>
      </w:r>
      <w:r>
        <w:t>.</w:t>
      </w:r>
    </w:p>
    <w:p w:rsidR="00286C83" w:rsidRDefault="00286C83" w:rsidP="00286C83">
      <w:pPr>
        <w:jc w:val="both"/>
      </w:pPr>
      <w:r>
        <w:t>The main variations to forecast expenses, excluding western fa</w:t>
      </w:r>
      <w:r w:rsidR="00ED0AC3">
        <w:t xml:space="preserve">çade and associated </w:t>
      </w:r>
      <w:r>
        <w:t>costs, were as follows:</w:t>
      </w:r>
    </w:p>
    <w:p w:rsidR="00286C83" w:rsidRDefault="00286C83" w:rsidP="00286C83">
      <w:pPr>
        <w:pStyle w:val="ListParagraph"/>
        <w:numPr>
          <w:ilvl w:val="0"/>
          <w:numId w:val="1"/>
        </w:numPr>
        <w:jc w:val="both"/>
      </w:pPr>
      <w:r>
        <w:t>Other building m</w:t>
      </w:r>
      <w:r w:rsidR="00D03C57">
        <w:t>aintenance costs were $140,294 compared with $16</w:t>
      </w:r>
      <w:r>
        <w:t>0,000 projected;</w:t>
      </w:r>
    </w:p>
    <w:p w:rsidR="00286C83" w:rsidRDefault="00286C83" w:rsidP="00286C83">
      <w:pPr>
        <w:pStyle w:val="ListParagraph"/>
        <w:numPr>
          <w:ilvl w:val="0"/>
          <w:numId w:val="1"/>
        </w:numPr>
        <w:jc w:val="both"/>
      </w:pPr>
      <w:r>
        <w:t>Management fees incl</w:t>
      </w:r>
      <w:r w:rsidR="00D03C57">
        <w:t>uding meeting costs were $21,415 compared with $15</w:t>
      </w:r>
      <w:r>
        <w:t>,000 budget;</w:t>
      </w:r>
    </w:p>
    <w:p w:rsidR="00ED0AC3" w:rsidRDefault="00ED0AC3" w:rsidP="00286C83">
      <w:pPr>
        <w:pStyle w:val="ListParagraph"/>
        <w:numPr>
          <w:ilvl w:val="0"/>
          <w:numId w:val="1"/>
        </w:numPr>
        <w:jc w:val="both"/>
      </w:pPr>
      <w:r>
        <w:t>Consultancies cost $11,950, well below the $20,000 budget;</w:t>
      </w:r>
    </w:p>
    <w:p w:rsidR="00286C83" w:rsidRDefault="00D03C57" w:rsidP="00286C83">
      <w:pPr>
        <w:pStyle w:val="ListParagraph"/>
        <w:numPr>
          <w:ilvl w:val="0"/>
          <w:numId w:val="1"/>
        </w:numPr>
        <w:jc w:val="both"/>
      </w:pPr>
      <w:r>
        <w:t>Insurance costs were $25,337, above the $22</w:t>
      </w:r>
      <w:r w:rsidR="00286C83">
        <w:t>,000 forecast;</w:t>
      </w:r>
    </w:p>
    <w:p w:rsidR="00286C83" w:rsidRDefault="00286C83" w:rsidP="00286C83">
      <w:pPr>
        <w:pStyle w:val="ListParagraph"/>
        <w:numPr>
          <w:ilvl w:val="0"/>
          <w:numId w:val="1"/>
        </w:numPr>
        <w:jc w:val="both"/>
      </w:pPr>
      <w:r>
        <w:lastRenderedPageBreak/>
        <w:t>Legal and accounti</w:t>
      </w:r>
      <w:r w:rsidR="00D03C57">
        <w:t>ng costs were $9,457 below the $12</w:t>
      </w:r>
      <w:r>
        <w:t>,000 provision;</w:t>
      </w:r>
    </w:p>
    <w:p w:rsidR="00286C83" w:rsidRDefault="00D03C57" w:rsidP="00286C83">
      <w:pPr>
        <w:pStyle w:val="ListParagraph"/>
        <w:numPr>
          <w:ilvl w:val="0"/>
          <w:numId w:val="1"/>
        </w:numPr>
        <w:jc w:val="both"/>
      </w:pPr>
      <w:r>
        <w:t>Cleaning costs of $24,262</w:t>
      </w:r>
      <w:r w:rsidR="00286C83">
        <w:t xml:space="preserve"> compa</w:t>
      </w:r>
      <w:r>
        <w:t>red with a prior estimate of $23</w:t>
      </w:r>
      <w:r w:rsidR="00286C83">
        <w:t>,000;</w:t>
      </w:r>
    </w:p>
    <w:p w:rsidR="00286C83" w:rsidRDefault="00D03C57" w:rsidP="00286C83">
      <w:pPr>
        <w:pStyle w:val="ListParagraph"/>
        <w:numPr>
          <w:ilvl w:val="0"/>
          <w:numId w:val="1"/>
        </w:numPr>
        <w:jc w:val="both"/>
      </w:pPr>
      <w:r>
        <w:t>Utility costs were $81,2</w:t>
      </w:r>
      <w:r w:rsidR="00286C83">
        <w:t>81 ag</w:t>
      </w:r>
      <w:r>
        <w:t>ainst a budget allocation of $65</w:t>
      </w:r>
      <w:r w:rsidR="00286C83">
        <w:t>,000; and</w:t>
      </w:r>
    </w:p>
    <w:p w:rsidR="00286C83" w:rsidRDefault="00286C83" w:rsidP="00286C83">
      <w:pPr>
        <w:pStyle w:val="ListParagraph"/>
        <w:numPr>
          <w:ilvl w:val="0"/>
          <w:numId w:val="1"/>
        </w:numPr>
        <w:jc w:val="both"/>
      </w:pPr>
      <w:r>
        <w:t>Othe</w:t>
      </w:r>
      <w:r w:rsidR="00D03C57">
        <w:t>r administrative costs of $2,071</w:t>
      </w:r>
      <w:r>
        <w:t xml:space="preserve"> were less than the $6,000 allowed in the budget.</w:t>
      </w:r>
    </w:p>
    <w:p w:rsidR="00243298" w:rsidRDefault="00D03C57" w:rsidP="001E59B9">
      <w:r>
        <w:t>As reported in the annual Accounts, total expenses were $7</w:t>
      </w:r>
      <w:r w:rsidR="00DD73F6">
        <w:t xml:space="preserve">76,952 compared with </w:t>
      </w:r>
      <w:r>
        <w:t>budget</w:t>
      </w:r>
      <w:r w:rsidR="00DD73F6">
        <w:t>ed outlays</w:t>
      </w:r>
      <w:r>
        <w:t xml:space="preserve"> of $863,00</w:t>
      </w:r>
      <w:r w:rsidR="00ED0AC3">
        <w:t>0</w:t>
      </w:r>
      <w:r>
        <w:t>.</w:t>
      </w:r>
    </w:p>
    <w:p w:rsidR="00ED0AC3" w:rsidRDefault="00ED0AC3" w:rsidP="00ED0AC3">
      <w:r>
        <w:t>These strong outcomes have created the scope for the company to commission architectural dr</w:t>
      </w:r>
      <w:r w:rsidR="00020C79">
        <w:t>awings of the building</w:t>
      </w:r>
      <w:r>
        <w:t xml:space="preserve"> in the current year, as already mentioned in the BMC section above.</w:t>
      </w:r>
    </w:p>
    <w:p w:rsidR="00ED0AC3" w:rsidRDefault="00ED0AC3" w:rsidP="00ED0AC3">
      <w:r>
        <w:t>The better than forecast outcome also reflected strong financial performance in relation to the second largest of 2016 capital outlays, shown in the detailed Profit and Loss Account as electrical repairs and replacements, totalling $93,134.  Again, this was well within the “other building maintenance” budget provision of $160,000.</w:t>
      </w:r>
    </w:p>
    <w:p w:rsidR="00ED0AC3" w:rsidRDefault="00ED0AC3" w:rsidP="00ED0AC3">
      <w:r>
        <w:t>The committ</w:t>
      </w:r>
      <w:r w:rsidR="006271DF">
        <w:t>ee, comprising Mark McDonnell (C</w:t>
      </w:r>
      <w:r>
        <w:t>onvenor), Brett Gebers, Malcolm Richardson, Peter Smyth and, more recently, Robert Floyd continues to explore options to achieve cost savings wherever possible.  For example, in the year ahead, a new fire safety system monitoring company (Synergy) has been appointed based on a more competitive tender price, replacing DEM.</w:t>
      </w:r>
    </w:p>
    <w:p w:rsidR="00ED0AC3" w:rsidRDefault="00ED0AC3" w:rsidP="00ED0AC3">
      <w:r>
        <w:t>The committee is also examining options to reduce one of the largest of the recurrent expense items, water charges, which largely accounted for the cost over-run on utilities.  While a substantial proportion of these costs is fixed, directors are looking closely at usag</w:t>
      </w:r>
      <w:r w:rsidR="00A36C23">
        <w:t>e patterns and costs and expect</w:t>
      </w:r>
      <w:r>
        <w:t xml:space="preserve"> to report next year on the results of this work.</w:t>
      </w:r>
    </w:p>
    <w:p w:rsidR="00ED0AC3" w:rsidRDefault="00ED0AC3" w:rsidP="00BC45FE">
      <w:pPr>
        <w:spacing w:after="120"/>
        <w:jc w:val="both"/>
      </w:pPr>
      <w:r>
        <w:t>Turning to the current financial year (FY17), the directors have approved the following budget:</w:t>
      </w:r>
    </w:p>
    <w:p w:rsidR="006D76E8" w:rsidRDefault="006D76E8" w:rsidP="00BC45FE">
      <w:pPr>
        <w:spacing w:after="120"/>
        <w:jc w:val="both"/>
      </w:pP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1842"/>
        <w:gridCol w:w="1985"/>
      </w:tblGrid>
      <w:tr w:rsidR="00053438" w:rsidRPr="007A6053" w:rsidTr="00053438">
        <w:trPr>
          <w:trHeight w:val="255"/>
        </w:trPr>
        <w:tc>
          <w:tcPr>
            <w:tcW w:w="4977" w:type="dxa"/>
            <w:shd w:val="clear" w:color="auto" w:fill="auto"/>
            <w:noWrap/>
            <w:vAlign w:val="center"/>
            <w:hideMark/>
          </w:tcPr>
          <w:p w:rsidR="00053438" w:rsidRPr="007A6053" w:rsidRDefault="00053438" w:rsidP="00001641">
            <w:pPr>
              <w:spacing w:after="0" w:line="240" w:lineRule="auto"/>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FY17</w:t>
            </w:r>
            <w:r w:rsidRPr="007A6053">
              <w:rPr>
                <w:rFonts w:ascii="Arial" w:eastAsia="Times New Roman" w:hAnsi="Arial" w:cs="Arial"/>
                <w:b/>
                <w:bCs/>
                <w:sz w:val="20"/>
                <w:szCs w:val="20"/>
                <w:lang w:eastAsia="en-AU"/>
              </w:rPr>
              <w:t xml:space="preserve"> Budget</w:t>
            </w:r>
          </w:p>
        </w:tc>
        <w:tc>
          <w:tcPr>
            <w:tcW w:w="1842" w:type="dxa"/>
            <w:shd w:val="clear" w:color="auto" w:fill="auto"/>
            <w:noWrap/>
            <w:vAlign w:val="bottom"/>
            <w:hideMark/>
          </w:tcPr>
          <w:p w:rsidR="00053438" w:rsidRPr="007A6053" w:rsidRDefault="00053438" w:rsidP="00001641">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1985" w:type="dxa"/>
          </w:tcPr>
          <w:p w:rsidR="00053438" w:rsidRDefault="00053438" w:rsidP="00001641">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w:t>
            </w:r>
          </w:p>
        </w:tc>
      </w:tr>
      <w:tr w:rsidR="00053438" w:rsidRPr="007A6053" w:rsidTr="00053438">
        <w:trPr>
          <w:trHeight w:val="255"/>
        </w:trPr>
        <w:tc>
          <w:tcPr>
            <w:tcW w:w="4977" w:type="dxa"/>
            <w:shd w:val="clear" w:color="auto" w:fill="auto"/>
            <w:noWrap/>
            <w:vAlign w:val="center"/>
            <w:hideMark/>
          </w:tcPr>
          <w:p w:rsidR="00053438" w:rsidRPr="00053438" w:rsidRDefault="00053438" w:rsidP="00001641">
            <w:pPr>
              <w:spacing w:after="0" w:line="240" w:lineRule="auto"/>
              <w:jc w:val="center"/>
              <w:rPr>
                <w:rFonts w:ascii="Arial" w:eastAsia="Times New Roman" w:hAnsi="Arial" w:cs="Arial"/>
                <w:b/>
                <w:sz w:val="20"/>
                <w:szCs w:val="20"/>
                <w:lang w:eastAsia="en-AU"/>
              </w:rPr>
            </w:pPr>
            <w:r w:rsidRPr="00053438">
              <w:rPr>
                <w:rFonts w:ascii="Arial" w:eastAsia="Times New Roman" w:hAnsi="Arial" w:cs="Arial"/>
                <w:b/>
                <w:sz w:val="20"/>
                <w:szCs w:val="20"/>
                <w:lang w:eastAsia="en-AU"/>
              </w:rPr>
              <w:t>Opening cash</w:t>
            </w:r>
          </w:p>
        </w:tc>
        <w:tc>
          <w:tcPr>
            <w:tcW w:w="1842" w:type="dxa"/>
            <w:shd w:val="clear" w:color="auto" w:fill="auto"/>
            <w:noWrap/>
            <w:vAlign w:val="bottom"/>
          </w:tcPr>
          <w:p w:rsidR="00053438" w:rsidRPr="007A6053" w:rsidRDefault="00053438" w:rsidP="00001641">
            <w:pPr>
              <w:spacing w:after="0" w:line="240" w:lineRule="auto"/>
              <w:jc w:val="center"/>
              <w:rPr>
                <w:rFonts w:ascii="Arial" w:eastAsia="Times New Roman" w:hAnsi="Arial" w:cs="Arial"/>
                <w:sz w:val="20"/>
                <w:szCs w:val="20"/>
                <w:lang w:eastAsia="en-AU"/>
              </w:rPr>
            </w:pPr>
          </w:p>
        </w:tc>
        <w:tc>
          <w:tcPr>
            <w:tcW w:w="1985" w:type="dxa"/>
            <w:vAlign w:val="bottom"/>
          </w:tcPr>
          <w:p w:rsidR="00053438" w:rsidRPr="007A6053" w:rsidRDefault="00053438" w:rsidP="00187F8F">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177312</w:t>
            </w:r>
          </w:p>
        </w:tc>
      </w:tr>
      <w:tr w:rsidR="00053438" w:rsidRPr="007A6053" w:rsidTr="00053438">
        <w:trPr>
          <w:trHeight w:val="255"/>
        </w:trPr>
        <w:tc>
          <w:tcPr>
            <w:tcW w:w="4977" w:type="dxa"/>
            <w:shd w:val="clear" w:color="auto" w:fill="auto"/>
            <w:noWrap/>
            <w:vAlign w:val="center"/>
            <w:hideMark/>
          </w:tcPr>
          <w:p w:rsidR="00053438" w:rsidRPr="007A6053" w:rsidRDefault="00053438" w:rsidP="00001641">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Levies</w:t>
            </w:r>
          </w:p>
        </w:tc>
        <w:tc>
          <w:tcPr>
            <w:tcW w:w="1842" w:type="dxa"/>
            <w:shd w:val="clear" w:color="auto" w:fill="auto"/>
            <w:noWrap/>
            <w:vAlign w:val="bottom"/>
          </w:tcPr>
          <w:p w:rsidR="00053438" w:rsidRPr="007A6053" w:rsidRDefault="00053438" w:rsidP="00001641">
            <w:pPr>
              <w:spacing w:after="0" w:line="240" w:lineRule="auto"/>
              <w:jc w:val="center"/>
              <w:rPr>
                <w:rFonts w:ascii="Arial" w:eastAsia="Times New Roman" w:hAnsi="Arial" w:cs="Arial"/>
                <w:sz w:val="20"/>
                <w:szCs w:val="20"/>
                <w:lang w:eastAsia="en-AU"/>
              </w:rPr>
            </w:pPr>
          </w:p>
        </w:tc>
        <w:tc>
          <w:tcPr>
            <w:tcW w:w="1985" w:type="dxa"/>
            <w:vAlign w:val="bottom"/>
          </w:tcPr>
          <w:p w:rsidR="00053438" w:rsidRPr="007A6053" w:rsidRDefault="00053438" w:rsidP="00187F8F">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400000</w:t>
            </w:r>
          </w:p>
        </w:tc>
      </w:tr>
      <w:tr w:rsidR="00053438" w:rsidRPr="007A6053" w:rsidTr="00053438">
        <w:trPr>
          <w:trHeight w:val="255"/>
        </w:trPr>
        <w:tc>
          <w:tcPr>
            <w:tcW w:w="4977" w:type="dxa"/>
            <w:shd w:val="clear" w:color="auto" w:fill="auto"/>
            <w:noWrap/>
            <w:vAlign w:val="center"/>
            <w:hideMark/>
          </w:tcPr>
          <w:p w:rsidR="00053438" w:rsidRPr="007A6053" w:rsidRDefault="00053438" w:rsidP="00001641">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Other income</w:t>
            </w:r>
          </w:p>
        </w:tc>
        <w:tc>
          <w:tcPr>
            <w:tcW w:w="1842" w:type="dxa"/>
            <w:shd w:val="clear" w:color="auto" w:fill="auto"/>
            <w:noWrap/>
            <w:vAlign w:val="bottom"/>
          </w:tcPr>
          <w:p w:rsidR="00053438" w:rsidRPr="007A6053" w:rsidRDefault="00053438" w:rsidP="00001641">
            <w:pPr>
              <w:spacing w:after="0" w:line="240" w:lineRule="auto"/>
              <w:jc w:val="center"/>
              <w:rPr>
                <w:rFonts w:ascii="Arial" w:eastAsia="Times New Roman" w:hAnsi="Arial" w:cs="Arial"/>
                <w:sz w:val="20"/>
                <w:szCs w:val="20"/>
                <w:lang w:eastAsia="en-AU"/>
              </w:rPr>
            </w:pPr>
          </w:p>
        </w:tc>
        <w:tc>
          <w:tcPr>
            <w:tcW w:w="1985" w:type="dxa"/>
            <w:vAlign w:val="bottom"/>
          </w:tcPr>
          <w:p w:rsidR="00053438" w:rsidRPr="007A6053" w:rsidRDefault="00053438" w:rsidP="00187F8F">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12000</w:t>
            </w:r>
          </w:p>
        </w:tc>
      </w:tr>
      <w:tr w:rsidR="00053438" w:rsidRPr="007A6053" w:rsidTr="00053438">
        <w:trPr>
          <w:trHeight w:val="255"/>
        </w:trPr>
        <w:tc>
          <w:tcPr>
            <w:tcW w:w="4977" w:type="dxa"/>
            <w:shd w:val="clear" w:color="auto" w:fill="auto"/>
            <w:noWrap/>
            <w:vAlign w:val="center"/>
            <w:hideMark/>
          </w:tcPr>
          <w:p w:rsidR="00053438" w:rsidRPr="00053438" w:rsidRDefault="00053438" w:rsidP="00001641">
            <w:pPr>
              <w:spacing w:after="0" w:line="240" w:lineRule="auto"/>
              <w:jc w:val="center"/>
              <w:rPr>
                <w:rFonts w:ascii="Arial" w:eastAsia="Times New Roman" w:hAnsi="Arial" w:cs="Arial"/>
                <w:b/>
                <w:sz w:val="20"/>
                <w:szCs w:val="20"/>
                <w:lang w:eastAsia="en-AU"/>
              </w:rPr>
            </w:pPr>
            <w:r w:rsidRPr="00053438">
              <w:rPr>
                <w:rFonts w:ascii="Arial" w:eastAsia="Times New Roman" w:hAnsi="Arial" w:cs="Arial"/>
                <w:b/>
                <w:sz w:val="20"/>
                <w:szCs w:val="20"/>
                <w:lang w:eastAsia="en-AU"/>
              </w:rPr>
              <w:t>Total cash resources</w:t>
            </w:r>
          </w:p>
        </w:tc>
        <w:tc>
          <w:tcPr>
            <w:tcW w:w="1842" w:type="dxa"/>
            <w:shd w:val="clear" w:color="auto" w:fill="auto"/>
            <w:noWrap/>
            <w:vAlign w:val="bottom"/>
          </w:tcPr>
          <w:p w:rsidR="00053438" w:rsidRPr="007A6053" w:rsidRDefault="00053438" w:rsidP="00001641">
            <w:pPr>
              <w:spacing w:after="0" w:line="240" w:lineRule="auto"/>
              <w:jc w:val="center"/>
              <w:rPr>
                <w:rFonts w:ascii="Arial" w:eastAsia="Times New Roman" w:hAnsi="Arial" w:cs="Arial"/>
                <w:sz w:val="20"/>
                <w:szCs w:val="20"/>
                <w:lang w:eastAsia="en-AU"/>
              </w:rPr>
            </w:pPr>
          </w:p>
        </w:tc>
        <w:tc>
          <w:tcPr>
            <w:tcW w:w="1985" w:type="dxa"/>
            <w:vAlign w:val="bottom"/>
          </w:tcPr>
          <w:p w:rsidR="00053438" w:rsidRPr="007A6053" w:rsidRDefault="00053438" w:rsidP="00187F8F">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589312</w:t>
            </w:r>
          </w:p>
        </w:tc>
      </w:tr>
      <w:tr w:rsidR="00053438" w:rsidRPr="007A6053" w:rsidTr="00053438">
        <w:trPr>
          <w:trHeight w:val="255"/>
        </w:trPr>
        <w:tc>
          <w:tcPr>
            <w:tcW w:w="4977" w:type="dxa"/>
            <w:shd w:val="clear" w:color="auto" w:fill="auto"/>
            <w:noWrap/>
            <w:vAlign w:val="center"/>
            <w:hideMark/>
          </w:tcPr>
          <w:p w:rsidR="00053438" w:rsidRPr="007A6053" w:rsidRDefault="00053438" w:rsidP="00001641">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Western façade works</w:t>
            </w:r>
            <w:r>
              <w:rPr>
                <w:rFonts w:ascii="Arial" w:eastAsia="Times New Roman" w:hAnsi="Arial" w:cs="Arial"/>
                <w:sz w:val="20"/>
                <w:szCs w:val="20"/>
                <w:lang w:eastAsia="en-AU"/>
              </w:rPr>
              <w:t xml:space="preserve"> – final </w:t>
            </w:r>
          </w:p>
        </w:tc>
        <w:tc>
          <w:tcPr>
            <w:tcW w:w="1842" w:type="dxa"/>
            <w:shd w:val="clear" w:color="auto" w:fill="auto"/>
            <w:noWrap/>
            <w:vAlign w:val="bottom"/>
            <w:hideMark/>
          </w:tcPr>
          <w:p w:rsidR="00053438" w:rsidRPr="007A6053" w:rsidRDefault="00053438" w:rsidP="00001641">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(25</w:t>
            </w:r>
            <w:r w:rsidRPr="007A6053">
              <w:rPr>
                <w:rFonts w:ascii="Arial" w:eastAsia="Times New Roman" w:hAnsi="Arial" w:cs="Arial"/>
                <w:sz w:val="20"/>
                <w:szCs w:val="20"/>
                <w:lang w:eastAsia="en-AU"/>
              </w:rPr>
              <w:t>000</w:t>
            </w:r>
            <w:r>
              <w:rPr>
                <w:rFonts w:ascii="Arial" w:eastAsia="Times New Roman" w:hAnsi="Arial" w:cs="Arial"/>
                <w:sz w:val="20"/>
                <w:szCs w:val="20"/>
                <w:lang w:eastAsia="en-AU"/>
              </w:rPr>
              <w:t>)</w:t>
            </w:r>
          </w:p>
        </w:tc>
        <w:tc>
          <w:tcPr>
            <w:tcW w:w="1985" w:type="dxa"/>
          </w:tcPr>
          <w:p w:rsidR="00053438" w:rsidRDefault="00053438" w:rsidP="00001641">
            <w:pPr>
              <w:spacing w:after="0" w:line="240" w:lineRule="auto"/>
              <w:jc w:val="center"/>
              <w:rPr>
                <w:rFonts w:ascii="Arial" w:eastAsia="Times New Roman" w:hAnsi="Arial" w:cs="Arial"/>
                <w:sz w:val="20"/>
                <w:szCs w:val="20"/>
                <w:lang w:eastAsia="en-AU"/>
              </w:rPr>
            </w:pPr>
          </w:p>
        </w:tc>
      </w:tr>
      <w:tr w:rsidR="00053438" w:rsidRPr="007A6053" w:rsidTr="00053438">
        <w:trPr>
          <w:trHeight w:val="225"/>
        </w:trPr>
        <w:tc>
          <w:tcPr>
            <w:tcW w:w="4977" w:type="dxa"/>
            <w:shd w:val="clear" w:color="auto" w:fill="auto"/>
            <w:noWrap/>
            <w:vAlign w:val="center"/>
            <w:hideMark/>
          </w:tcPr>
          <w:p w:rsidR="00053438" w:rsidRPr="007A6053" w:rsidRDefault="00053438" w:rsidP="00001641">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Architectural drawings</w:t>
            </w:r>
          </w:p>
        </w:tc>
        <w:tc>
          <w:tcPr>
            <w:tcW w:w="1842" w:type="dxa"/>
            <w:shd w:val="clear" w:color="auto" w:fill="auto"/>
            <w:noWrap/>
            <w:vAlign w:val="bottom"/>
            <w:hideMark/>
          </w:tcPr>
          <w:p w:rsidR="00053438" w:rsidRPr="007A6053" w:rsidRDefault="00053438" w:rsidP="00001641">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(26263)</w:t>
            </w:r>
          </w:p>
        </w:tc>
        <w:tc>
          <w:tcPr>
            <w:tcW w:w="1985" w:type="dxa"/>
          </w:tcPr>
          <w:p w:rsidR="00053438" w:rsidRDefault="00053438" w:rsidP="00001641">
            <w:pPr>
              <w:spacing w:after="0" w:line="240" w:lineRule="auto"/>
              <w:jc w:val="center"/>
              <w:rPr>
                <w:rFonts w:ascii="Arial" w:eastAsia="Times New Roman" w:hAnsi="Arial" w:cs="Arial"/>
                <w:sz w:val="20"/>
                <w:szCs w:val="20"/>
                <w:lang w:eastAsia="en-AU"/>
              </w:rPr>
            </w:pPr>
          </w:p>
        </w:tc>
      </w:tr>
      <w:tr w:rsidR="00053438" w:rsidRPr="007A6053" w:rsidTr="00053438">
        <w:trPr>
          <w:trHeight w:val="255"/>
        </w:trPr>
        <w:tc>
          <w:tcPr>
            <w:tcW w:w="4977" w:type="dxa"/>
            <w:shd w:val="clear" w:color="auto" w:fill="auto"/>
            <w:noWrap/>
            <w:vAlign w:val="center"/>
            <w:hideMark/>
          </w:tcPr>
          <w:p w:rsidR="00053438" w:rsidRPr="007A6053" w:rsidRDefault="00053438" w:rsidP="00001641">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Other building maintenance</w:t>
            </w:r>
          </w:p>
        </w:tc>
        <w:tc>
          <w:tcPr>
            <w:tcW w:w="1842" w:type="dxa"/>
            <w:shd w:val="clear" w:color="auto" w:fill="auto"/>
            <w:noWrap/>
            <w:vAlign w:val="bottom"/>
            <w:hideMark/>
          </w:tcPr>
          <w:p w:rsidR="00053438" w:rsidRPr="007A6053" w:rsidRDefault="00053438" w:rsidP="00001641">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w:t>
            </w:r>
            <w:r w:rsidRPr="007A6053">
              <w:rPr>
                <w:rFonts w:ascii="Arial" w:eastAsia="Times New Roman" w:hAnsi="Arial" w:cs="Arial"/>
                <w:sz w:val="20"/>
                <w:szCs w:val="20"/>
                <w:lang w:eastAsia="en-AU"/>
              </w:rPr>
              <w:t>160000</w:t>
            </w:r>
            <w:r>
              <w:rPr>
                <w:rFonts w:ascii="Arial" w:eastAsia="Times New Roman" w:hAnsi="Arial" w:cs="Arial"/>
                <w:sz w:val="20"/>
                <w:szCs w:val="20"/>
                <w:lang w:eastAsia="en-AU"/>
              </w:rPr>
              <w:t>)</w:t>
            </w:r>
          </w:p>
        </w:tc>
        <w:tc>
          <w:tcPr>
            <w:tcW w:w="1985" w:type="dxa"/>
          </w:tcPr>
          <w:p w:rsidR="00053438" w:rsidRPr="007A6053" w:rsidRDefault="00053438" w:rsidP="00001641">
            <w:pPr>
              <w:spacing w:after="0" w:line="240" w:lineRule="auto"/>
              <w:jc w:val="center"/>
              <w:rPr>
                <w:rFonts w:ascii="Arial" w:eastAsia="Times New Roman" w:hAnsi="Arial" w:cs="Arial"/>
                <w:sz w:val="20"/>
                <w:szCs w:val="20"/>
                <w:lang w:eastAsia="en-AU"/>
              </w:rPr>
            </w:pPr>
          </w:p>
        </w:tc>
      </w:tr>
      <w:tr w:rsidR="00053438" w:rsidRPr="007A6053" w:rsidTr="00053438">
        <w:trPr>
          <w:trHeight w:val="255"/>
        </w:trPr>
        <w:tc>
          <w:tcPr>
            <w:tcW w:w="4977" w:type="dxa"/>
            <w:shd w:val="clear" w:color="auto" w:fill="auto"/>
            <w:noWrap/>
            <w:vAlign w:val="center"/>
            <w:hideMark/>
          </w:tcPr>
          <w:p w:rsidR="00053438" w:rsidRPr="007A6053" w:rsidRDefault="00053438" w:rsidP="00001641">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Fire protection/ monitor</w:t>
            </w:r>
          </w:p>
        </w:tc>
        <w:tc>
          <w:tcPr>
            <w:tcW w:w="1842" w:type="dxa"/>
            <w:shd w:val="clear" w:color="auto" w:fill="auto"/>
            <w:noWrap/>
            <w:vAlign w:val="bottom"/>
            <w:hideMark/>
          </w:tcPr>
          <w:p w:rsidR="00053438" w:rsidRPr="007A6053" w:rsidRDefault="00053438" w:rsidP="00001641">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w:t>
            </w:r>
            <w:r w:rsidRPr="007A6053">
              <w:rPr>
                <w:rFonts w:ascii="Arial" w:eastAsia="Times New Roman" w:hAnsi="Arial" w:cs="Arial"/>
                <w:sz w:val="20"/>
                <w:szCs w:val="20"/>
                <w:lang w:eastAsia="en-AU"/>
              </w:rPr>
              <w:t>0000</w:t>
            </w:r>
            <w:r>
              <w:rPr>
                <w:rFonts w:ascii="Arial" w:eastAsia="Times New Roman" w:hAnsi="Arial" w:cs="Arial"/>
                <w:sz w:val="20"/>
                <w:szCs w:val="20"/>
                <w:lang w:eastAsia="en-AU"/>
              </w:rPr>
              <w:t>)</w:t>
            </w:r>
          </w:p>
        </w:tc>
        <w:tc>
          <w:tcPr>
            <w:tcW w:w="1985" w:type="dxa"/>
          </w:tcPr>
          <w:p w:rsidR="00053438" w:rsidRDefault="00053438" w:rsidP="00001641">
            <w:pPr>
              <w:spacing w:after="0" w:line="240" w:lineRule="auto"/>
              <w:jc w:val="center"/>
              <w:rPr>
                <w:rFonts w:ascii="Arial" w:eastAsia="Times New Roman" w:hAnsi="Arial" w:cs="Arial"/>
                <w:sz w:val="20"/>
                <w:szCs w:val="20"/>
                <w:lang w:eastAsia="en-AU"/>
              </w:rPr>
            </w:pPr>
          </w:p>
        </w:tc>
      </w:tr>
      <w:tr w:rsidR="00053438" w:rsidRPr="007A6053" w:rsidTr="00053438">
        <w:trPr>
          <w:trHeight w:val="255"/>
        </w:trPr>
        <w:tc>
          <w:tcPr>
            <w:tcW w:w="4977" w:type="dxa"/>
            <w:shd w:val="clear" w:color="auto" w:fill="auto"/>
            <w:noWrap/>
            <w:vAlign w:val="center"/>
            <w:hideMark/>
          </w:tcPr>
          <w:p w:rsidR="00053438" w:rsidRPr="007A6053" w:rsidRDefault="00053438" w:rsidP="00001641">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Legal and accounting</w:t>
            </w:r>
          </w:p>
        </w:tc>
        <w:tc>
          <w:tcPr>
            <w:tcW w:w="1842" w:type="dxa"/>
            <w:shd w:val="clear" w:color="auto" w:fill="auto"/>
            <w:noWrap/>
            <w:vAlign w:val="bottom"/>
            <w:hideMark/>
          </w:tcPr>
          <w:p w:rsidR="00053438" w:rsidRPr="007A6053" w:rsidRDefault="00053438" w:rsidP="00001641">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w:t>
            </w:r>
            <w:r w:rsidRPr="007A6053">
              <w:rPr>
                <w:rFonts w:ascii="Arial" w:eastAsia="Times New Roman" w:hAnsi="Arial" w:cs="Arial"/>
                <w:sz w:val="20"/>
                <w:szCs w:val="20"/>
                <w:lang w:eastAsia="en-AU"/>
              </w:rPr>
              <w:t>12000</w:t>
            </w:r>
            <w:r>
              <w:rPr>
                <w:rFonts w:ascii="Arial" w:eastAsia="Times New Roman" w:hAnsi="Arial" w:cs="Arial"/>
                <w:sz w:val="20"/>
                <w:szCs w:val="20"/>
                <w:lang w:eastAsia="en-AU"/>
              </w:rPr>
              <w:t>)</w:t>
            </w:r>
          </w:p>
        </w:tc>
        <w:tc>
          <w:tcPr>
            <w:tcW w:w="1985" w:type="dxa"/>
          </w:tcPr>
          <w:p w:rsidR="00053438" w:rsidRPr="007A6053" w:rsidRDefault="00053438" w:rsidP="00001641">
            <w:pPr>
              <w:spacing w:after="0" w:line="240" w:lineRule="auto"/>
              <w:jc w:val="center"/>
              <w:rPr>
                <w:rFonts w:ascii="Arial" w:eastAsia="Times New Roman" w:hAnsi="Arial" w:cs="Arial"/>
                <w:sz w:val="20"/>
                <w:szCs w:val="20"/>
                <w:lang w:eastAsia="en-AU"/>
              </w:rPr>
            </w:pPr>
          </w:p>
        </w:tc>
      </w:tr>
      <w:tr w:rsidR="00053438" w:rsidRPr="007A6053" w:rsidTr="00053438">
        <w:trPr>
          <w:trHeight w:val="255"/>
        </w:trPr>
        <w:tc>
          <w:tcPr>
            <w:tcW w:w="4977" w:type="dxa"/>
            <w:shd w:val="clear" w:color="auto" w:fill="auto"/>
            <w:noWrap/>
            <w:vAlign w:val="center"/>
            <w:hideMark/>
          </w:tcPr>
          <w:p w:rsidR="00053438" w:rsidRPr="007A6053" w:rsidRDefault="00053438" w:rsidP="00001641">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Utilities</w:t>
            </w:r>
          </w:p>
        </w:tc>
        <w:tc>
          <w:tcPr>
            <w:tcW w:w="1842" w:type="dxa"/>
            <w:shd w:val="clear" w:color="auto" w:fill="auto"/>
            <w:noWrap/>
            <w:vAlign w:val="bottom"/>
            <w:hideMark/>
          </w:tcPr>
          <w:p w:rsidR="00053438" w:rsidRPr="007A6053" w:rsidRDefault="00053438" w:rsidP="00001641">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(80</w:t>
            </w:r>
            <w:r w:rsidRPr="007A6053">
              <w:rPr>
                <w:rFonts w:ascii="Arial" w:eastAsia="Times New Roman" w:hAnsi="Arial" w:cs="Arial"/>
                <w:sz w:val="20"/>
                <w:szCs w:val="20"/>
                <w:lang w:eastAsia="en-AU"/>
              </w:rPr>
              <w:t>000</w:t>
            </w:r>
            <w:r>
              <w:rPr>
                <w:rFonts w:ascii="Arial" w:eastAsia="Times New Roman" w:hAnsi="Arial" w:cs="Arial"/>
                <w:sz w:val="20"/>
                <w:szCs w:val="20"/>
                <w:lang w:eastAsia="en-AU"/>
              </w:rPr>
              <w:t>)</w:t>
            </w:r>
          </w:p>
        </w:tc>
        <w:tc>
          <w:tcPr>
            <w:tcW w:w="1985" w:type="dxa"/>
          </w:tcPr>
          <w:p w:rsidR="00053438" w:rsidRDefault="00053438" w:rsidP="00001641">
            <w:pPr>
              <w:spacing w:after="0" w:line="240" w:lineRule="auto"/>
              <w:jc w:val="center"/>
              <w:rPr>
                <w:rFonts w:ascii="Arial" w:eastAsia="Times New Roman" w:hAnsi="Arial" w:cs="Arial"/>
                <w:sz w:val="20"/>
                <w:szCs w:val="20"/>
                <w:lang w:eastAsia="en-AU"/>
              </w:rPr>
            </w:pPr>
          </w:p>
        </w:tc>
      </w:tr>
      <w:tr w:rsidR="00053438" w:rsidRPr="007A6053" w:rsidTr="00053438">
        <w:trPr>
          <w:trHeight w:val="255"/>
        </w:trPr>
        <w:tc>
          <w:tcPr>
            <w:tcW w:w="4977" w:type="dxa"/>
            <w:shd w:val="clear" w:color="auto" w:fill="auto"/>
            <w:noWrap/>
            <w:vAlign w:val="center"/>
            <w:hideMark/>
          </w:tcPr>
          <w:p w:rsidR="00053438" w:rsidRPr="007A6053" w:rsidRDefault="00053438" w:rsidP="00001641">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Management fees</w:t>
            </w:r>
          </w:p>
        </w:tc>
        <w:tc>
          <w:tcPr>
            <w:tcW w:w="1842" w:type="dxa"/>
            <w:shd w:val="clear" w:color="auto" w:fill="auto"/>
            <w:noWrap/>
            <w:vAlign w:val="bottom"/>
            <w:hideMark/>
          </w:tcPr>
          <w:p w:rsidR="00053438" w:rsidRPr="007A6053" w:rsidRDefault="00053438" w:rsidP="00001641">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(20</w:t>
            </w:r>
            <w:r w:rsidRPr="007A6053">
              <w:rPr>
                <w:rFonts w:ascii="Arial" w:eastAsia="Times New Roman" w:hAnsi="Arial" w:cs="Arial"/>
                <w:sz w:val="20"/>
                <w:szCs w:val="20"/>
                <w:lang w:eastAsia="en-AU"/>
              </w:rPr>
              <w:t>000</w:t>
            </w:r>
            <w:r>
              <w:rPr>
                <w:rFonts w:ascii="Arial" w:eastAsia="Times New Roman" w:hAnsi="Arial" w:cs="Arial"/>
                <w:sz w:val="20"/>
                <w:szCs w:val="20"/>
                <w:lang w:eastAsia="en-AU"/>
              </w:rPr>
              <w:t>)</w:t>
            </w:r>
          </w:p>
        </w:tc>
        <w:tc>
          <w:tcPr>
            <w:tcW w:w="1985" w:type="dxa"/>
          </w:tcPr>
          <w:p w:rsidR="00053438" w:rsidRDefault="00053438" w:rsidP="00001641">
            <w:pPr>
              <w:spacing w:after="0" w:line="240" w:lineRule="auto"/>
              <w:jc w:val="center"/>
              <w:rPr>
                <w:rFonts w:ascii="Arial" w:eastAsia="Times New Roman" w:hAnsi="Arial" w:cs="Arial"/>
                <w:sz w:val="20"/>
                <w:szCs w:val="20"/>
                <w:lang w:eastAsia="en-AU"/>
              </w:rPr>
            </w:pPr>
          </w:p>
        </w:tc>
      </w:tr>
      <w:tr w:rsidR="00053438" w:rsidRPr="007A6053" w:rsidTr="00053438">
        <w:trPr>
          <w:trHeight w:val="255"/>
        </w:trPr>
        <w:tc>
          <w:tcPr>
            <w:tcW w:w="4977" w:type="dxa"/>
            <w:shd w:val="clear" w:color="auto" w:fill="auto"/>
            <w:noWrap/>
            <w:vAlign w:val="center"/>
            <w:hideMark/>
          </w:tcPr>
          <w:p w:rsidR="00053438" w:rsidRPr="007A6053" w:rsidRDefault="00053438" w:rsidP="00001641">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Cleaning</w:t>
            </w:r>
          </w:p>
        </w:tc>
        <w:tc>
          <w:tcPr>
            <w:tcW w:w="1842" w:type="dxa"/>
            <w:shd w:val="clear" w:color="auto" w:fill="auto"/>
            <w:noWrap/>
            <w:vAlign w:val="bottom"/>
            <w:hideMark/>
          </w:tcPr>
          <w:p w:rsidR="00053438" w:rsidRPr="007A6053" w:rsidRDefault="00053438" w:rsidP="00001641">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(245</w:t>
            </w:r>
            <w:r w:rsidRPr="007A6053">
              <w:rPr>
                <w:rFonts w:ascii="Arial" w:eastAsia="Times New Roman" w:hAnsi="Arial" w:cs="Arial"/>
                <w:sz w:val="20"/>
                <w:szCs w:val="20"/>
                <w:lang w:eastAsia="en-AU"/>
              </w:rPr>
              <w:t>00</w:t>
            </w:r>
            <w:r>
              <w:rPr>
                <w:rFonts w:ascii="Arial" w:eastAsia="Times New Roman" w:hAnsi="Arial" w:cs="Arial"/>
                <w:sz w:val="20"/>
                <w:szCs w:val="20"/>
                <w:lang w:eastAsia="en-AU"/>
              </w:rPr>
              <w:t>)</w:t>
            </w:r>
          </w:p>
        </w:tc>
        <w:tc>
          <w:tcPr>
            <w:tcW w:w="1985" w:type="dxa"/>
          </w:tcPr>
          <w:p w:rsidR="00053438" w:rsidRDefault="00053438" w:rsidP="00001641">
            <w:pPr>
              <w:spacing w:after="0" w:line="240" w:lineRule="auto"/>
              <w:jc w:val="center"/>
              <w:rPr>
                <w:rFonts w:ascii="Arial" w:eastAsia="Times New Roman" w:hAnsi="Arial" w:cs="Arial"/>
                <w:sz w:val="20"/>
                <w:szCs w:val="20"/>
                <w:lang w:eastAsia="en-AU"/>
              </w:rPr>
            </w:pPr>
          </w:p>
        </w:tc>
      </w:tr>
      <w:tr w:rsidR="00053438" w:rsidRPr="007A6053" w:rsidTr="00053438">
        <w:trPr>
          <w:trHeight w:val="255"/>
        </w:trPr>
        <w:tc>
          <w:tcPr>
            <w:tcW w:w="4977" w:type="dxa"/>
            <w:shd w:val="clear" w:color="auto" w:fill="auto"/>
            <w:noWrap/>
            <w:vAlign w:val="center"/>
            <w:hideMark/>
          </w:tcPr>
          <w:p w:rsidR="00053438" w:rsidRPr="007A6053" w:rsidRDefault="00053438" w:rsidP="00001641">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Insurance</w:t>
            </w:r>
          </w:p>
        </w:tc>
        <w:tc>
          <w:tcPr>
            <w:tcW w:w="1842" w:type="dxa"/>
            <w:shd w:val="clear" w:color="auto" w:fill="auto"/>
            <w:noWrap/>
            <w:vAlign w:val="bottom"/>
            <w:hideMark/>
          </w:tcPr>
          <w:p w:rsidR="00053438" w:rsidRPr="007A6053" w:rsidRDefault="00053438" w:rsidP="00001641">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(26</w:t>
            </w:r>
            <w:r w:rsidRPr="007A6053">
              <w:rPr>
                <w:rFonts w:ascii="Arial" w:eastAsia="Times New Roman" w:hAnsi="Arial" w:cs="Arial"/>
                <w:sz w:val="20"/>
                <w:szCs w:val="20"/>
                <w:lang w:eastAsia="en-AU"/>
              </w:rPr>
              <w:t>000</w:t>
            </w:r>
            <w:r>
              <w:rPr>
                <w:rFonts w:ascii="Arial" w:eastAsia="Times New Roman" w:hAnsi="Arial" w:cs="Arial"/>
                <w:sz w:val="20"/>
                <w:szCs w:val="20"/>
                <w:lang w:eastAsia="en-AU"/>
              </w:rPr>
              <w:t>)</w:t>
            </w:r>
          </w:p>
        </w:tc>
        <w:tc>
          <w:tcPr>
            <w:tcW w:w="1985" w:type="dxa"/>
          </w:tcPr>
          <w:p w:rsidR="00053438" w:rsidRDefault="00053438" w:rsidP="00001641">
            <w:pPr>
              <w:spacing w:after="0" w:line="240" w:lineRule="auto"/>
              <w:jc w:val="center"/>
              <w:rPr>
                <w:rFonts w:ascii="Arial" w:eastAsia="Times New Roman" w:hAnsi="Arial" w:cs="Arial"/>
                <w:sz w:val="20"/>
                <w:szCs w:val="20"/>
                <w:lang w:eastAsia="en-AU"/>
              </w:rPr>
            </w:pPr>
          </w:p>
        </w:tc>
      </w:tr>
      <w:tr w:rsidR="00053438" w:rsidRPr="007A6053" w:rsidTr="00053438">
        <w:trPr>
          <w:trHeight w:val="255"/>
        </w:trPr>
        <w:tc>
          <w:tcPr>
            <w:tcW w:w="4977" w:type="dxa"/>
            <w:shd w:val="clear" w:color="auto" w:fill="auto"/>
            <w:noWrap/>
            <w:vAlign w:val="center"/>
            <w:hideMark/>
          </w:tcPr>
          <w:p w:rsidR="00053438" w:rsidRPr="007A6053" w:rsidRDefault="00053438" w:rsidP="00001641">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Other admin costs</w:t>
            </w:r>
          </w:p>
        </w:tc>
        <w:tc>
          <w:tcPr>
            <w:tcW w:w="1842" w:type="dxa"/>
            <w:shd w:val="clear" w:color="auto" w:fill="auto"/>
            <w:noWrap/>
            <w:vAlign w:val="bottom"/>
            <w:hideMark/>
          </w:tcPr>
          <w:p w:rsidR="00053438" w:rsidRPr="007A6053" w:rsidRDefault="00053438" w:rsidP="00001641">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w:t>
            </w:r>
            <w:r w:rsidRPr="007A6053">
              <w:rPr>
                <w:rFonts w:ascii="Arial" w:eastAsia="Times New Roman" w:hAnsi="Arial" w:cs="Arial"/>
                <w:sz w:val="20"/>
                <w:szCs w:val="20"/>
                <w:lang w:eastAsia="en-AU"/>
              </w:rPr>
              <w:t>6000</w:t>
            </w:r>
            <w:r>
              <w:rPr>
                <w:rFonts w:ascii="Arial" w:eastAsia="Times New Roman" w:hAnsi="Arial" w:cs="Arial"/>
                <w:sz w:val="20"/>
                <w:szCs w:val="20"/>
                <w:lang w:eastAsia="en-AU"/>
              </w:rPr>
              <w:t>)</w:t>
            </w:r>
          </w:p>
        </w:tc>
        <w:tc>
          <w:tcPr>
            <w:tcW w:w="1985" w:type="dxa"/>
          </w:tcPr>
          <w:p w:rsidR="00053438" w:rsidRPr="007A6053" w:rsidRDefault="00053438" w:rsidP="00001641">
            <w:pPr>
              <w:spacing w:after="0" w:line="240" w:lineRule="auto"/>
              <w:jc w:val="center"/>
              <w:rPr>
                <w:rFonts w:ascii="Arial" w:eastAsia="Times New Roman" w:hAnsi="Arial" w:cs="Arial"/>
                <w:sz w:val="20"/>
                <w:szCs w:val="20"/>
                <w:lang w:eastAsia="en-AU"/>
              </w:rPr>
            </w:pPr>
          </w:p>
        </w:tc>
      </w:tr>
      <w:tr w:rsidR="00053438" w:rsidRPr="007A6053" w:rsidTr="00053438">
        <w:trPr>
          <w:trHeight w:val="255"/>
        </w:trPr>
        <w:tc>
          <w:tcPr>
            <w:tcW w:w="4977" w:type="dxa"/>
            <w:shd w:val="clear" w:color="auto" w:fill="auto"/>
            <w:noWrap/>
            <w:vAlign w:val="center"/>
            <w:hideMark/>
          </w:tcPr>
          <w:p w:rsidR="00053438" w:rsidRPr="007A6053" w:rsidRDefault="00053438" w:rsidP="00001641">
            <w:pPr>
              <w:spacing w:after="0" w:line="240" w:lineRule="auto"/>
              <w:jc w:val="center"/>
              <w:rPr>
                <w:rFonts w:ascii="Arial" w:eastAsia="Times New Roman" w:hAnsi="Arial" w:cs="Arial"/>
                <w:sz w:val="20"/>
                <w:szCs w:val="20"/>
                <w:lang w:eastAsia="en-AU"/>
              </w:rPr>
            </w:pPr>
            <w:r w:rsidRPr="007A6053">
              <w:rPr>
                <w:rFonts w:ascii="Arial" w:eastAsia="Times New Roman" w:hAnsi="Arial" w:cs="Arial"/>
                <w:sz w:val="20"/>
                <w:szCs w:val="20"/>
                <w:lang w:eastAsia="en-AU"/>
              </w:rPr>
              <w:t>Total outlays</w:t>
            </w:r>
          </w:p>
        </w:tc>
        <w:tc>
          <w:tcPr>
            <w:tcW w:w="1842" w:type="dxa"/>
            <w:shd w:val="clear" w:color="auto" w:fill="auto"/>
            <w:noWrap/>
            <w:vAlign w:val="bottom"/>
          </w:tcPr>
          <w:p w:rsidR="00053438" w:rsidRPr="007A6053" w:rsidRDefault="00053438" w:rsidP="00001641">
            <w:pPr>
              <w:spacing w:after="0" w:line="240" w:lineRule="auto"/>
              <w:jc w:val="center"/>
              <w:rPr>
                <w:rFonts w:ascii="Arial" w:eastAsia="Times New Roman" w:hAnsi="Arial" w:cs="Arial"/>
                <w:sz w:val="20"/>
                <w:szCs w:val="20"/>
                <w:lang w:eastAsia="en-AU"/>
              </w:rPr>
            </w:pPr>
          </w:p>
        </w:tc>
        <w:tc>
          <w:tcPr>
            <w:tcW w:w="1985" w:type="dxa"/>
            <w:vAlign w:val="bottom"/>
          </w:tcPr>
          <w:p w:rsidR="00053438" w:rsidRPr="007A6053" w:rsidRDefault="00053438" w:rsidP="00187F8F">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(389763)</w:t>
            </w:r>
          </w:p>
        </w:tc>
      </w:tr>
      <w:tr w:rsidR="00053438" w:rsidRPr="007A6053" w:rsidTr="00053438">
        <w:trPr>
          <w:trHeight w:val="255"/>
        </w:trPr>
        <w:tc>
          <w:tcPr>
            <w:tcW w:w="4977" w:type="dxa"/>
            <w:shd w:val="clear" w:color="auto" w:fill="auto"/>
            <w:noWrap/>
            <w:vAlign w:val="center"/>
            <w:hideMark/>
          </w:tcPr>
          <w:p w:rsidR="00053438" w:rsidRPr="00053438" w:rsidRDefault="00053438" w:rsidP="00001641">
            <w:pPr>
              <w:spacing w:after="0" w:line="240" w:lineRule="auto"/>
              <w:jc w:val="center"/>
              <w:rPr>
                <w:rFonts w:ascii="Arial" w:eastAsia="Times New Roman" w:hAnsi="Arial" w:cs="Arial"/>
                <w:b/>
                <w:sz w:val="20"/>
                <w:szCs w:val="20"/>
                <w:lang w:eastAsia="en-AU"/>
              </w:rPr>
            </w:pPr>
            <w:r w:rsidRPr="00053438">
              <w:rPr>
                <w:rFonts w:ascii="Arial" w:eastAsia="Times New Roman" w:hAnsi="Arial" w:cs="Arial"/>
                <w:b/>
                <w:sz w:val="20"/>
                <w:szCs w:val="20"/>
                <w:lang w:eastAsia="en-AU"/>
              </w:rPr>
              <w:t>Estimated closing cash</w:t>
            </w:r>
          </w:p>
        </w:tc>
        <w:tc>
          <w:tcPr>
            <w:tcW w:w="1842" w:type="dxa"/>
            <w:shd w:val="clear" w:color="auto" w:fill="auto"/>
            <w:noWrap/>
            <w:vAlign w:val="bottom"/>
          </w:tcPr>
          <w:p w:rsidR="00053438" w:rsidRPr="007A6053" w:rsidRDefault="00053438" w:rsidP="00001641">
            <w:pPr>
              <w:spacing w:after="0" w:line="240" w:lineRule="auto"/>
              <w:jc w:val="center"/>
              <w:rPr>
                <w:rFonts w:ascii="Arial" w:eastAsia="Times New Roman" w:hAnsi="Arial" w:cs="Arial"/>
                <w:sz w:val="20"/>
                <w:szCs w:val="20"/>
                <w:lang w:eastAsia="en-AU"/>
              </w:rPr>
            </w:pPr>
          </w:p>
        </w:tc>
        <w:tc>
          <w:tcPr>
            <w:tcW w:w="1985" w:type="dxa"/>
            <w:vAlign w:val="bottom"/>
          </w:tcPr>
          <w:p w:rsidR="00053438" w:rsidRPr="007A6053" w:rsidRDefault="00053438" w:rsidP="00187F8F">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199549</w:t>
            </w:r>
          </w:p>
        </w:tc>
      </w:tr>
    </w:tbl>
    <w:p w:rsidR="003A683F" w:rsidRDefault="003A683F" w:rsidP="00BC45FE">
      <w:pPr>
        <w:spacing w:before="240" w:after="240"/>
        <w:jc w:val="both"/>
      </w:pPr>
      <w:r>
        <w:t xml:space="preserve">The </w:t>
      </w:r>
      <w:r w:rsidR="0023335D">
        <w:t>company’s ten year plan is</w:t>
      </w:r>
      <w:r>
        <w:t xml:space="preserve"> based on calendar rather than </w:t>
      </w:r>
      <w:r w:rsidR="00020C79">
        <w:t xml:space="preserve">financial years and the </w:t>
      </w:r>
      <w:r>
        <w:t xml:space="preserve">timetable and works to end of 2019 is </w:t>
      </w:r>
      <w:r w:rsidR="00020C79">
        <w:t xml:space="preserve">unchanged from last year, but for convenience is </w:t>
      </w:r>
      <w:r>
        <w:t>set out in the table below:</w:t>
      </w:r>
    </w:p>
    <w:tbl>
      <w:tblPr>
        <w:tblW w:w="8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835"/>
        <w:gridCol w:w="850"/>
        <w:gridCol w:w="2589"/>
        <w:gridCol w:w="1640"/>
      </w:tblGrid>
      <w:tr w:rsidR="003A683F" w:rsidRPr="00E707DA" w:rsidTr="00001641">
        <w:trPr>
          <w:trHeight w:val="255"/>
        </w:trPr>
        <w:tc>
          <w:tcPr>
            <w:tcW w:w="866"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sz w:val="20"/>
                <w:szCs w:val="20"/>
                <w:lang w:eastAsia="en-AU"/>
              </w:rPr>
            </w:pPr>
          </w:p>
        </w:tc>
        <w:tc>
          <w:tcPr>
            <w:tcW w:w="2835" w:type="dxa"/>
            <w:shd w:val="clear" w:color="auto" w:fill="auto"/>
            <w:noWrap/>
            <w:vAlign w:val="center"/>
            <w:hideMark/>
          </w:tcPr>
          <w:p w:rsidR="003A683F" w:rsidRPr="00E707DA" w:rsidRDefault="003A683F" w:rsidP="00001641">
            <w:pPr>
              <w:spacing w:after="0" w:line="240" w:lineRule="auto"/>
              <w:jc w:val="both"/>
              <w:rPr>
                <w:rFonts w:ascii="Arial" w:eastAsia="Times New Roman" w:hAnsi="Arial" w:cs="Arial"/>
                <w:b/>
                <w:bCs/>
                <w:i/>
                <w:iCs/>
                <w:sz w:val="20"/>
                <w:szCs w:val="20"/>
                <w:lang w:eastAsia="en-AU"/>
              </w:rPr>
            </w:pPr>
            <w:r w:rsidRPr="00E707DA">
              <w:rPr>
                <w:rFonts w:ascii="Arial" w:eastAsia="Times New Roman" w:hAnsi="Arial" w:cs="Arial"/>
                <w:b/>
                <w:bCs/>
                <w:i/>
                <w:iCs/>
                <w:sz w:val="20"/>
                <w:szCs w:val="20"/>
                <w:lang w:eastAsia="en-AU"/>
              </w:rPr>
              <w:t>Sources</w:t>
            </w:r>
          </w:p>
        </w:tc>
        <w:tc>
          <w:tcPr>
            <w:tcW w:w="850"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b/>
                <w:bCs/>
                <w:sz w:val="20"/>
                <w:szCs w:val="20"/>
                <w:lang w:eastAsia="en-AU"/>
              </w:rPr>
            </w:pPr>
            <w:r w:rsidRPr="00E707DA">
              <w:rPr>
                <w:rFonts w:ascii="Arial" w:eastAsia="Times New Roman" w:hAnsi="Arial" w:cs="Arial"/>
                <w:b/>
                <w:bCs/>
                <w:sz w:val="20"/>
                <w:szCs w:val="20"/>
                <w:lang w:eastAsia="en-AU"/>
              </w:rPr>
              <w:t>$'000</w:t>
            </w:r>
          </w:p>
        </w:tc>
        <w:tc>
          <w:tcPr>
            <w:tcW w:w="2589"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b/>
                <w:bCs/>
                <w:i/>
                <w:iCs/>
                <w:sz w:val="20"/>
                <w:szCs w:val="20"/>
                <w:lang w:eastAsia="en-AU"/>
              </w:rPr>
            </w:pPr>
            <w:r w:rsidRPr="00E707DA">
              <w:rPr>
                <w:rFonts w:ascii="Arial" w:eastAsia="Times New Roman" w:hAnsi="Arial" w:cs="Arial"/>
                <w:b/>
                <w:bCs/>
                <w:i/>
                <w:iCs/>
                <w:sz w:val="20"/>
                <w:szCs w:val="20"/>
                <w:lang w:eastAsia="en-AU"/>
              </w:rPr>
              <w:t>Uses</w:t>
            </w:r>
          </w:p>
        </w:tc>
        <w:tc>
          <w:tcPr>
            <w:tcW w:w="1640"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b/>
                <w:bCs/>
                <w:sz w:val="20"/>
                <w:szCs w:val="20"/>
                <w:lang w:eastAsia="en-AU"/>
              </w:rPr>
            </w:pPr>
            <w:r w:rsidRPr="00E707DA">
              <w:rPr>
                <w:rFonts w:ascii="Arial" w:eastAsia="Times New Roman" w:hAnsi="Arial" w:cs="Arial"/>
                <w:b/>
                <w:bCs/>
                <w:sz w:val="20"/>
                <w:szCs w:val="20"/>
                <w:lang w:eastAsia="en-AU"/>
              </w:rPr>
              <w:t>$'000</w:t>
            </w:r>
          </w:p>
        </w:tc>
      </w:tr>
      <w:tr w:rsidR="003A683F" w:rsidRPr="00E707DA" w:rsidTr="00001641">
        <w:trPr>
          <w:trHeight w:val="285"/>
        </w:trPr>
        <w:tc>
          <w:tcPr>
            <w:tcW w:w="866"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b/>
                <w:bCs/>
                <w:sz w:val="20"/>
                <w:szCs w:val="20"/>
                <w:lang w:eastAsia="en-AU"/>
              </w:rPr>
            </w:pPr>
            <w:r w:rsidRPr="00E707DA">
              <w:rPr>
                <w:rFonts w:ascii="Arial" w:eastAsia="Times New Roman" w:hAnsi="Arial" w:cs="Arial"/>
                <w:b/>
                <w:bCs/>
                <w:sz w:val="20"/>
                <w:szCs w:val="20"/>
                <w:lang w:eastAsia="en-AU"/>
              </w:rPr>
              <w:t>2017</w:t>
            </w:r>
          </w:p>
        </w:tc>
        <w:tc>
          <w:tcPr>
            <w:tcW w:w="2835" w:type="dxa"/>
            <w:shd w:val="clear" w:color="auto" w:fill="auto"/>
            <w:noWrap/>
            <w:vAlign w:val="center"/>
            <w:hideMark/>
          </w:tcPr>
          <w:p w:rsidR="003A683F" w:rsidRPr="00E707DA" w:rsidRDefault="003A683F" w:rsidP="00001641">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Opening cash</w:t>
            </w:r>
          </w:p>
        </w:tc>
        <w:tc>
          <w:tcPr>
            <w:tcW w:w="85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120</w:t>
            </w:r>
          </w:p>
        </w:tc>
        <w:tc>
          <w:tcPr>
            <w:tcW w:w="2589"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sz w:val="20"/>
                <w:szCs w:val="20"/>
                <w:lang w:eastAsia="en-AU"/>
              </w:rPr>
            </w:pPr>
          </w:p>
        </w:tc>
        <w:tc>
          <w:tcPr>
            <w:tcW w:w="164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p>
        </w:tc>
      </w:tr>
      <w:tr w:rsidR="003A683F" w:rsidRPr="00E707DA" w:rsidTr="00001641">
        <w:trPr>
          <w:trHeight w:val="255"/>
        </w:trPr>
        <w:tc>
          <w:tcPr>
            <w:tcW w:w="866"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b/>
                <w:bCs/>
                <w:sz w:val="20"/>
                <w:szCs w:val="20"/>
                <w:lang w:eastAsia="en-AU"/>
              </w:rPr>
            </w:pPr>
          </w:p>
        </w:tc>
        <w:tc>
          <w:tcPr>
            <w:tcW w:w="2835" w:type="dxa"/>
            <w:shd w:val="clear" w:color="auto" w:fill="auto"/>
            <w:noWrap/>
            <w:vAlign w:val="center"/>
            <w:hideMark/>
          </w:tcPr>
          <w:p w:rsidR="003A683F" w:rsidRPr="00E707DA" w:rsidRDefault="003A683F" w:rsidP="00001641">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Capital levy</w:t>
            </w:r>
          </w:p>
        </w:tc>
        <w:tc>
          <w:tcPr>
            <w:tcW w:w="85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200</w:t>
            </w:r>
          </w:p>
        </w:tc>
        <w:tc>
          <w:tcPr>
            <w:tcW w:w="2589"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 xml:space="preserve">Phase 2 </w:t>
            </w:r>
            <w:r w:rsidR="00020C79">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E707DA">
              <w:rPr>
                <w:rFonts w:ascii="Arial" w:eastAsia="Times New Roman" w:hAnsi="Arial" w:cs="Arial"/>
                <w:sz w:val="20"/>
                <w:szCs w:val="20"/>
                <w:lang w:eastAsia="en-AU"/>
              </w:rPr>
              <w:t>completion</w:t>
            </w:r>
          </w:p>
        </w:tc>
        <w:tc>
          <w:tcPr>
            <w:tcW w:w="164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80</w:t>
            </w:r>
          </w:p>
        </w:tc>
      </w:tr>
      <w:tr w:rsidR="003A683F" w:rsidRPr="00E707DA" w:rsidTr="00001641">
        <w:trPr>
          <w:trHeight w:val="255"/>
        </w:trPr>
        <w:tc>
          <w:tcPr>
            <w:tcW w:w="866"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b/>
                <w:bCs/>
                <w:sz w:val="20"/>
                <w:szCs w:val="20"/>
                <w:lang w:eastAsia="en-AU"/>
              </w:rPr>
            </w:pPr>
          </w:p>
        </w:tc>
        <w:tc>
          <w:tcPr>
            <w:tcW w:w="2835" w:type="dxa"/>
            <w:shd w:val="clear" w:color="auto" w:fill="auto"/>
            <w:noWrap/>
            <w:vAlign w:val="center"/>
            <w:hideMark/>
          </w:tcPr>
          <w:p w:rsidR="003A683F" w:rsidRPr="00E707DA" w:rsidRDefault="003A683F" w:rsidP="00001641">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Total</w:t>
            </w:r>
          </w:p>
        </w:tc>
        <w:tc>
          <w:tcPr>
            <w:tcW w:w="85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320</w:t>
            </w:r>
          </w:p>
        </w:tc>
        <w:tc>
          <w:tcPr>
            <w:tcW w:w="2589"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sz w:val="20"/>
                <w:szCs w:val="20"/>
                <w:lang w:eastAsia="en-AU"/>
              </w:rPr>
            </w:pPr>
          </w:p>
        </w:tc>
        <w:tc>
          <w:tcPr>
            <w:tcW w:w="164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p>
        </w:tc>
      </w:tr>
      <w:tr w:rsidR="003A683F" w:rsidRPr="00E707DA" w:rsidTr="00001641">
        <w:trPr>
          <w:trHeight w:val="255"/>
        </w:trPr>
        <w:tc>
          <w:tcPr>
            <w:tcW w:w="866"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b/>
                <w:bCs/>
                <w:sz w:val="20"/>
                <w:szCs w:val="20"/>
                <w:lang w:eastAsia="en-AU"/>
              </w:rPr>
            </w:pPr>
            <w:r w:rsidRPr="00E707DA">
              <w:rPr>
                <w:rFonts w:ascii="Arial" w:eastAsia="Times New Roman" w:hAnsi="Arial" w:cs="Arial"/>
                <w:b/>
                <w:bCs/>
                <w:sz w:val="20"/>
                <w:szCs w:val="20"/>
                <w:lang w:eastAsia="en-AU"/>
              </w:rPr>
              <w:t>2018</w:t>
            </w:r>
          </w:p>
        </w:tc>
        <w:tc>
          <w:tcPr>
            <w:tcW w:w="2835" w:type="dxa"/>
            <w:shd w:val="clear" w:color="auto" w:fill="auto"/>
            <w:noWrap/>
            <w:vAlign w:val="center"/>
            <w:hideMark/>
          </w:tcPr>
          <w:p w:rsidR="003A683F" w:rsidRPr="00E707DA" w:rsidRDefault="003A683F" w:rsidP="00001641">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Opening cash</w:t>
            </w:r>
          </w:p>
        </w:tc>
        <w:tc>
          <w:tcPr>
            <w:tcW w:w="85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240</w:t>
            </w:r>
          </w:p>
        </w:tc>
        <w:tc>
          <w:tcPr>
            <w:tcW w:w="2589"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Nil</w:t>
            </w:r>
          </w:p>
        </w:tc>
        <w:tc>
          <w:tcPr>
            <w:tcW w:w="164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0</w:t>
            </w:r>
          </w:p>
        </w:tc>
      </w:tr>
      <w:tr w:rsidR="003A683F" w:rsidRPr="00E707DA" w:rsidTr="00001641">
        <w:trPr>
          <w:trHeight w:val="255"/>
        </w:trPr>
        <w:tc>
          <w:tcPr>
            <w:tcW w:w="866"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b/>
                <w:bCs/>
                <w:sz w:val="20"/>
                <w:szCs w:val="20"/>
                <w:lang w:eastAsia="en-AU"/>
              </w:rPr>
            </w:pPr>
          </w:p>
        </w:tc>
        <w:tc>
          <w:tcPr>
            <w:tcW w:w="2835" w:type="dxa"/>
            <w:shd w:val="clear" w:color="auto" w:fill="auto"/>
            <w:noWrap/>
            <w:vAlign w:val="center"/>
            <w:hideMark/>
          </w:tcPr>
          <w:p w:rsidR="003A683F" w:rsidRPr="00E707DA" w:rsidRDefault="003A683F" w:rsidP="00001641">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Capital levy</w:t>
            </w:r>
          </w:p>
        </w:tc>
        <w:tc>
          <w:tcPr>
            <w:tcW w:w="85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200</w:t>
            </w:r>
          </w:p>
        </w:tc>
        <w:tc>
          <w:tcPr>
            <w:tcW w:w="2589"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sz w:val="20"/>
                <w:szCs w:val="20"/>
                <w:lang w:eastAsia="en-AU"/>
              </w:rPr>
            </w:pPr>
          </w:p>
        </w:tc>
        <w:tc>
          <w:tcPr>
            <w:tcW w:w="164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p>
        </w:tc>
      </w:tr>
      <w:tr w:rsidR="003A683F" w:rsidRPr="00E707DA" w:rsidTr="00001641">
        <w:trPr>
          <w:trHeight w:val="255"/>
        </w:trPr>
        <w:tc>
          <w:tcPr>
            <w:tcW w:w="866"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b/>
                <w:bCs/>
                <w:sz w:val="20"/>
                <w:szCs w:val="20"/>
                <w:lang w:eastAsia="en-AU"/>
              </w:rPr>
            </w:pPr>
          </w:p>
        </w:tc>
        <w:tc>
          <w:tcPr>
            <w:tcW w:w="2835" w:type="dxa"/>
            <w:shd w:val="clear" w:color="auto" w:fill="auto"/>
            <w:noWrap/>
            <w:vAlign w:val="center"/>
            <w:hideMark/>
          </w:tcPr>
          <w:p w:rsidR="003A683F" w:rsidRPr="00E707DA" w:rsidRDefault="003A683F" w:rsidP="00001641">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Total</w:t>
            </w:r>
          </w:p>
        </w:tc>
        <w:tc>
          <w:tcPr>
            <w:tcW w:w="85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440</w:t>
            </w:r>
          </w:p>
        </w:tc>
        <w:tc>
          <w:tcPr>
            <w:tcW w:w="2589"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sz w:val="20"/>
                <w:szCs w:val="20"/>
                <w:lang w:eastAsia="en-AU"/>
              </w:rPr>
            </w:pPr>
          </w:p>
        </w:tc>
        <w:tc>
          <w:tcPr>
            <w:tcW w:w="164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p>
        </w:tc>
      </w:tr>
      <w:tr w:rsidR="003A683F" w:rsidRPr="00E707DA" w:rsidTr="00001641">
        <w:trPr>
          <w:trHeight w:val="317"/>
        </w:trPr>
        <w:tc>
          <w:tcPr>
            <w:tcW w:w="866"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b/>
                <w:bCs/>
                <w:sz w:val="20"/>
                <w:szCs w:val="20"/>
                <w:lang w:eastAsia="en-AU"/>
              </w:rPr>
            </w:pPr>
            <w:r w:rsidRPr="00E707DA">
              <w:rPr>
                <w:rFonts w:ascii="Arial" w:eastAsia="Times New Roman" w:hAnsi="Arial" w:cs="Arial"/>
                <w:b/>
                <w:bCs/>
                <w:sz w:val="20"/>
                <w:szCs w:val="20"/>
                <w:lang w:eastAsia="en-AU"/>
              </w:rPr>
              <w:t>2019</w:t>
            </w:r>
          </w:p>
        </w:tc>
        <w:tc>
          <w:tcPr>
            <w:tcW w:w="2835" w:type="dxa"/>
            <w:shd w:val="clear" w:color="auto" w:fill="auto"/>
            <w:noWrap/>
            <w:vAlign w:val="center"/>
            <w:hideMark/>
          </w:tcPr>
          <w:p w:rsidR="003A683F" w:rsidRPr="00E707DA" w:rsidRDefault="003A683F" w:rsidP="00001641">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Opening cash</w:t>
            </w:r>
          </w:p>
        </w:tc>
        <w:tc>
          <w:tcPr>
            <w:tcW w:w="85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440</w:t>
            </w:r>
          </w:p>
        </w:tc>
        <w:tc>
          <w:tcPr>
            <w:tcW w:w="2589"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North &amp; east facades</w:t>
            </w:r>
          </w:p>
        </w:tc>
        <w:tc>
          <w:tcPr>
            <w:tcW w:w="164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640</w:t>
            </w:r>
          </w:p>
        </w:tc>
      </w:tr>
      <w:tr w:rsidR="003A683F" w:rsidRPr="00E707DA" w:rsidTr="00001641">
        <w:trPr>
          <w:trHeight w:val="255"/>
        </w:trPr>
        <w:tc>
          <w:tcPr>
            <w:tcW w:w="866"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sz w:val="20"/>
                <w:szCs w:val="20"/>
                <w:lang w:eastAsia="en-AU"/>
              </w:rPr>
            </w:pPr>
          </w:p>
        </w:tc>
        <w:tc>
          <w:tcPr>
            <w:tcW w:w="2835" w:type="dxa"/>
            <w:shd w:val="clear" w:color="auto" w:fill="auto"/>
            <w:noWrap/>
            <w:vAlign w:val="center"/>
            <w:hideMark/>
          </w:tcPr>
          <w:p w:rsidR="003A683F" w:rsidRPr="00E707DA" w:rsidRDefault="003A683F" w:rsidP="00001641">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Capital levy</w:t>
            </w:r>
          </w:p>
        </w:tc>
        <w:tc>
          <w:tcPr>
            <w:tcW w:w="85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200</w:t>
            </w:r>
          </w:p>
        </w:tc>
        <w:tc>
          <w:tcPr>
            <w:tcW w:w="2589"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sz w:val="20"/>
                <w:szCs w:val="20"/>
                <w:lang w:eastAsia="en-AU"/>
              </w:rPr>
            </w:pPr>
          </w:p>
        </w:tc>
        <w:tc>
          <w:tcPr>
            <w:tcW w:w="164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p>
        </w:tc>
      </w:tr>
      <w:tr w:rsidR="003A683F" w:rsidRPr="00E707DA" w:rsidTr="00001641">
        <w:trPr>
          <w:trHeight w:val="255"/>
        </w:trPr>
        <w:tc>
          <w:tcPr>
            <w:tcW w:w="866"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sz w:val="20"/>
                <w:szCs w:val="20"/>
                <w:lang w:eastAsia="en-AU"/>
              </w:rPr>
            </w:pPr>
          </w:p>
        </w:tc>
        <w:tc>
          <w:tcPr>
            <w:tcW w:w="2835" w:type="dxa"/>
            <w:shd w:val="clear" w:color="auto" w:fill="auto"/>
            <w:noWrap/>
            <w:vAlign w:val="center"/>
            <w:hideMark/>
          </w:tcPr>
          <w:p w:rsidR="003A683F" w:rsidRPr="00E707DA" w:rsidRDefault="003A683F" w:rsidP="00001641">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Total</w:t>
            </w:r>
          </w:p>
        </w:tc>
        <w:tc>
          <w:tcPr>
            <w:tcW w:w="85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640</w:t>
            </w:r>
          </w:p>
        </w:tc>
        <w:tc>
          <w:tcPr>
            <w:tcW w:w="2589" w:type="dxa"/>
            <w:shd w:val="clear" w:color="auto" w:fill="auto"/>
            <w:noWrap/>
            <w:vAlign w:val="bottom"/>
            <w:hideMark/>
          </w:tcPr>
          <w:p w:rsidR="003A683F" w:rsidRPr="00E707DA" w:rsidRDefault="003A683F" w:rsidP="00001641">
            <w:pPr>
              <w:spacing w:after="0" w:line="240" w:lineRule="auto"/>
              <w:jc w:val="both"/>
              <w:rPr>
                <w:rFonts w:ascii="Arial" w:eastAsia="Times New Roman" w:hAnsi="Arial" w:cs="Arial"/>
                <w:sz w:val="20"/>
                <w:szCs w:val="20"/>
                <w:lang w:eastAsia="en-AU"/>
              </w:rPr>
            </w:pPr>
            <w:r w:rsidRPr="00E707DA">
              <w:rPr>
                <w:rFonts w:ascii="Arial" w:eastAsia="Times New Roman" w:hAnsi="Arial" w:cs="Arial"/>
                <w:sz w:val="20"/>
                <w:szCs w:val="20"/>
                <w:lang w:eastAsia="en-AU"/>
              </w:rPr>
              <w:t>Closing balance</w:t>
            </w:r>
          </w:p>
        </w:tc>
        <w:tc>
          <w:tcPr>
            <w:tcW w:w="1640" w:type="dxa"/>
            <w:shd w:val="clear" w:color="auto" w:fill="auto"/>
            <w:noWrap/>
            <w:vAlign w:val="bottom"/>
            <w:hideMark/>
          </w:tcPr>
          <w:p w:rsidR="003A683F" w:rsidRPr="00E707DA" w:rsidRDefault="003A683F" w:rsidP="00001641">
            <w:pPr>
              <w:spacing w:after="0" w:line="240" w:lineRule="auto"/>
              <w:jc w:val="center"/>
              <w:rPr>
                <w:rFonts w:ascii="Arial" w:eastAsia="Times New Roman" w:hAnsi="Arial" w:cs="Arial"/>
                <w:sz w:val="20"/>
                <w:szCs w:val="20"/>
                <w:lang w:eastAsia="en-AU"/>
              </w:rPr>
            </w:pPr>
            <w:r w:rsidRPr="00E707DA">
              <w:rPr>
                <w:rFonts w:ascii="Arial" w:eastAsia="Times New Roman" w:hAnsi="Arial" w:cs="Arial"/>
                <w:sz w:val="20"/>
                <w:szCs w:val="20"/>
                <w:lang w:eastAsia="en-AU"/>
              </w:rPr>
              <w:t>0</w:t>
            </w:r>
          </w:p>
        </w:tc>
      </w:tr>
    </w:tbl>
    <w:p w:rsidR="00BC45FE" w:rsidRDefault="00BC45FE" w:rsidP="003A683F">
      <w:pPr>
        <w:jc w:val="both"/>
      </w:pPr>
    </w:p>
    <w:p w:rsidR="00020C79" w:rsidRDefault="0023335D" w:rsidP="003A683F">
      <w:pPr>
        <w:jc w:val="both"/>
      </w:pPr>
      <w:r>
        <w:t>Directors continue to</w:t>
      </w:r>
      <w:r w:rsidR="004D3AF8">
        <w:t xml:space="preserve"> maintain our</w:t>
      </w:r>
      <w:r w:rsidR="00020C79">
        <w:t xml:space="preserve"> com</w:t>
      </w:r>
      <w:r w:rsidR="00DD73F6">
        <w:t>mitment to keep existing</w:t>
      </w:r>
      <w:r w:rsidR="00020C79">
        <w:t xml:space="preserve"> levies </w:t>
      </w:r>
      <w:r w:rsidR="00DD73F6">
        <w:t xml:space="preserve">unchanged </w:t>
      </w:r>
      <w:r w:rsidR="00020C79">
        <w:t>for the duration of the 10 year capital works program, ending in December 2019.  As a result, the scope of the capital works program is clearly defined and</w:t>
      </w:r>
      <w:r w:rsidR="00ED5E6E">
        <w:t xml:space="preserve"> limited to the projects stated</w:t>
      </w:r>
      <w:r w:rsidR="00020C79">
        <w:t xml:space="preserve"> above.  There is </w:t>
      </w:r>
      <w:r w:rsidR="00ED5E6E">
        <w:t xml:space="preserve">also </w:t>
      </w:r>
      <w:r w:rsidR="00020C79">
        <w:t>scope for continuing routine maintenance and repairs</w:t>
      </w:r>
      <w:r w:rsidR="00ED5E6E">
        <w:t xml:space="preserve"> (which cannot always be precisely </w:t>
      </w:r>
      <w:r w:rsidR="004D3AF8">
        <w:t>defined</w:t>
      </w:r>
      <w:r w:rsidR="00ED5E6E">
        <w:t>)</w:t>
      </w:r>
      <w:r w:rsidR="00020C79">
        <w:t xml:space="preserve"> w</w:t>
      </w:r>
      <w:r w:rsidR="00ED5E6E">
        <w:t>ithin these forecasts.  A</w:t>
      </w:r>
      <w:r w:rsidR="00020C79">
        <w:t>s noted last year, phase 3 electrical work will continue over the next couple of years but as it is to be funded directly by shareholders, it is not included in the budgets set out above.</w:t>
      </w:r>
    </w:p>
    <w:p w:rsidR="00F06DD4" w:rsidRDefault="00ED5E6E" w:rsidP="003A683F">
      <w:pPr>
        <w:jc w:val="both"/>
      </w:pPr>
      <w:r>
        <w:t xml:space="preserve">From 1 January 2020, assuming the capital works program has been completed on time and on budget, the company expects to be in position to lower the levies for </w:t>
      </w:r>
      <w:r w:rsidR="00DD73F6">
        <w:t xml:space="preserve">all shareholders. </w:t>
      </w:r>
      <w:r>
        <w:t xml:space="preserve">  Having regard to the cyclical maintenance schedule referred to in the BMC section of this Report, which sets out recurring capital expenditures needed to maintain the building in good order, </w:t>
      </w:r>
      <w:r w:rsidR="004D3AF8">
        <w:t>we expect total levies of</w:t>
      </w:r>
      <w:r>
        <w:t xml:space="preserve"> $320,000 from 2020</w:t>
      </w:r>
      <w:r w:rsidR="004D3AF8">
        <w:t xml:space="preserve"> will be required</w:t>
      </w:r>
      <w:r>
        <w:t xml:space="preserve">, which is 20% below the $400,000 raised </w:t>
      </w:r>
      <w:r w:rsidR="004D3AF8">
        <w:t xml:space="preserve">annually </w:t>
      </w:r>
      <w:r>
        <w:t>since 2010.</w:t>
      </w:r>
      <w:r w:rsidR="00807F43">
        <w:t xml:space="preserve">  In foreshadowing</w:t>
      </w:r>
      <w:r w:rsidR="004D3AF8">
        <w:t xml:space="preserve"> this lower estimated levy</w:t>
      </w:r>
      <w:r>
        <w:t>, we have made provision to address the major area of the building’s infrastructure that has been outside the current ten year plan, namely the plumbing</w:t>
      </w:r>
      <w:r w:rsidR="004D3AF8">
        <w:t xml:space="preserve">, along with many other continuing maintenance </w:t>
      </w:r>
      <w:r w:rsidR="00F06DD4">
        <w:t>commitments</w:t>
      </w:r>
      <w:r w:rsidR="00931CEB">
        <w:t>.</w:t>
      </w:r>
      <w:r w:rsidR="00F06DD4">
        <w:t xml:space="preserve">  Directors will continue to assess future needs carefully over the next year and provide further updates on our medium term expectations in these annual reports to shareholders.</w:t>
      </w:r>
      <w:r w:rsidR="00807F43">
        <w:t xml:space="preserve">  Please note that the $320,000 levy total from 2020 is provisional only at this stage, and is only being indicated so as to give some advance notice to shareholders of the likely extent of a reduction in levies at that time.   Some fine tuning of this forecast may be needed based on any new information and any other material developments that arise in the next few years.</w:t>
      </w:r>
    </w:p>
    <w:p w:rsidR="00666351" w:rsidRDefault="00F06DD4" w:rsidP="003A683F">
      <w:pPr>
        <w:jc w:val="both"/>
      </w:pPr>
      <w:r>
        <w:t>Turning to the legal work that has been a priority this year,</w:t>
      </w:r>
      <w:r w:rsidR="00666351">
        <w:t xml:space="preserve"> two matters are noteworthy.  The first was a review of the company’s application review and interview process for residents (whether by shareholders or tenants).  This review looked in detail at risks confronting the company around the type of information gathered, the criteria for assessment </w:t>
      </w:r>
      <w:r w:rsidR="00C8572E">
        <w:t xml:space="preserve">of applicants </w:t>
      </w:r>
      <w:r w:rsidR="00666351">
        <w:t xml:space="preserve">and </w:t>
      </w:r>
      <w:r w:rsidR="00C8572E">
        <w:t xml:space="preserve">issues surrounding </w:t>
      </w:r>
      <w:r w:rsidR="00666351">
        <w:t>subsequent inappropriate behaviour by residents.  As a result of the review, there was some tightening in the approvals process recommended, which has been implemented.</w:t>
      </w:r>
    </w:p>
    <w:p w:rsidR="00ED5E6E" w:rsidRDefault="00666351" w:rsidP="003A683F">
      <w:pPr>
        <w:jc w:val="both"/>
      </w:pPr>
      <w:r>
        <w:t xml:space="preserve">The second area of on-going activity relates to the application of the </w:t>
      </w:r>
      <w:r w:rsidRPr="00666351">
        <w:rPr>
          <w:i/>
        </w:rPr>
        <w:t>Work, Health and Safety A</w:t>
      </w:r>
      <w:r>
        <w:rPr>
          <w:i/>
        </w:rPr>
        <w:t>ct</w:t>
      </w:r>
      <w:r>
        <w:t xml:space="preserve"> </w:t>
      </w:r>
      <w:r w:rsidRPr="006856F0">
        <w:rPr>
          <w:i/>
        </w:rPr>
        <w:t>and Regulation</w:t>
      </w:r>
      <w:r>
        <w:t xml:space="preserve"> to company title properties including “Twenty”. </w:t>
      </w:r>
      <w:r w:rsidR="00ED5E6E">
        <w:t xml:space="preserve"> </w:t>
      </w:r>
      <w:r>
        <w:t>A delegation comprising Mark McDonnell, Peter Smyth and Malcolm Richardson raised the concerns of your directors about regulatory over-reach with the NSW government, leading to representations being made o</w:t>
      </w:r>
      <w:r w:rsidR="00C8572E">
        <w:t>n behalf of the company to the M</w:t>
      </w:r>
      <w:r>
        <w:t xml:space="preserve">inister for </w:t>
      </w:r>
      <w:r w:rsidR="00C8572E">
        <w:t xml:space="preserve">Innovation and </w:t>
      </w:r>
      <w:r>
        <w:t>Better Regulation, Hon Victor Dominello</w:t>
      </w:r>
      <w:r w:rsidR="00C8572E">
        <w:t xml:space="preserve"> MP</w:t>
      </w:r>
      <w:r>
        <w:t xml:space="preserve">.  </w:t>
      </w:r>
      <w:r w:rsidR="00C8572E">
        <w:t xml:space="preserve">Throughout the past year, the Chairman has been in regular contact with representatives of </w:t>
      </w:r>
      <w:r w:rsidR="00C8572E">
        <w:lastRenderedPageBreak/>
        <w:t>SafeWork NSW regarding changes to the scope of the Act</w:t>
      </w:r>
      <w:r w:rsidR="00807F43">
        <w:t xml:space="preserve"> and associated Regulations </w:t>
      </w:r>
      <w:r w:rsidR="00C8572E">
        <w:t xml:space="preserve">to company title residential buildings.  The latest advice from this agency is that </w:t>
      </w:r>
      <w:r w:rsidR="003209D3">
        <w:t xml:space="preserve">an Exemption applying to all company title residential buildings is to be gazetted, with an advance copy provided to “Twenty”.  Once gazetted, it will be in force and provide the same exemption from the </w:t>
      </w:r>
      <w:r w:rsidR="003209D3" w:rsidRPr="003209D3">
        <w:rPr>
          <w:i/>
        </w:rPr>
        <w:t>Work, Health and Safety Regulation 2011</w:t>
      </w:r>
      <w:r w:rsidR="003209D3">
        <w:t xml:space="preserve"> to the common areas of company title residential apartments, previously only applicable to strata title buildings.  Once the Exemption has been published in the NSW Gazette, directors will review our existing </w:t>
      </w:r>
      <w:r w:rsidR="003209D3" w:rsidRPr="003209D3">
        <w:rPr>
          <w:i/>
        </w:rPr>
        <w:t>Safety, Security and Emergency Management Policy</w:t>
      </w:r>
      <w:r w:rsidR="003209D3">
        <w:t xml:space="preserve"> with a view to removing any onerous obligations that are no longer required by law.</w:t>
      </w:r>
    </w:p>
    <w:p w:rsidR="006D76E8" w:rsidRDefault="006D76E8" w:rsidP="00BC45FE">
      <w:pPr>
        <w:pStyle w:val="Title"/>
        <w:rPr>
          <w:sz w:val="32"/>
          <w:szCs w:val="32"/>
        </w:rPr>
      </w:pPr>
    </w:p>
    <w:p w:rsidR="00243298" w:rsidRPr="00BC45FE" w:rsidRDefault="00243298" w:rsidP="00BC45FE">
      <w:pPr>
        <w:pStyle w:val="Title"/>
        <w:rPr>
          <w:sz w:val="32"/>
          <w:szCs w:val="32"/>
        </w:rPr>
      </w:pPr>
      <w:r w:rsidRPr="00BC45FE">
        <w:rPr>
          <w:sz w:val="32"/>
          <w:szCs w:val="32"/>
        </w:rPr>
        <w:t>Strategic Planning Group</w:t>
      </w:r>
    </w:p>
    <w:p w:rsidR="005267B8" w:rsidRDefault="00243298" w:rsidP="001E59B9">
      <w:r>
        <w:t>As announced at last year’</w:t>
      </w:r>
      <w:r w:rsidR="00225883">
        <w:t>s AGM,</w:t>
      </w:r>
      <w:r w:rsidR="00D77EB6">
        <w:t xml:space="preserve"> the board</w:t>
      </w:r>
      <w:r>
        <w:t xml:space="preserve"> has devoted considerable time looking into the major risks confronting the company.  </w:t>
      </w:r>
      <w:r w:rsidR="00225883">
        <w:t xml:space="preserve">This review has been ongoing over the past year and has been led by the Strategic Planning </w:t>
      </w:r>
      <w:r w:rsidR="00A36C23">
        <w:t>Group, comprising Peter Smyth (C</w:t>
      </w:r>
      <w:r w:rsidR="00225883">
        <w:t>onvenor), Brett Gebers, Randall Pearce and Mark McDonnell.</w:t>
      </w:r>
    </w:p>
    <w:p w:rsidR="00D77EB6" w:rsidRDefault="00225883" w:rsidP="001E59B9">
      <w:r>
        <w:t xml:space="preserve">Randall Pearce led the initial analysis that focussed on identifying seven </w:t>
      </w:r>
      <w:r w:rsidR="00D77EB6">
        <w:t xml:space="preserve">major risks, which were then considered in detail at successive board meetings over the year.  </w:t>
      </w:r>
    </w:p>
    <w:p w:rsidR="00225883" w:rsidRDefault="00D77EB6" w:rsidP="001E59B9">
      <w:r>
        <w:t>A brief comment on each of these risks and some of the main considerations and follow up activities follows.</w:t>
      </w:r>
    </w:p>
    <w:p w:rsidR="00225883" w:rsidRPr="000A64C3" w:rsidRDefault="00225883" w:rsidP="00225883">
      <w:pPr>
        <w:rPr>
          <w:i/>
        </w:rPr>
      </w:pPr>
      <w:r w:rsidRPr="000A64C3">
        <w:rPr>
          <w:i/>
        </w:rPr>
        <w:t xml:space="preserve">1.      </w:t>
      </w:r>
      <w:r w:rsidR="00D77EB6">
        <w:rPr>
          <w:i/>
        </w:rPr>
        <w:t>Regulatory compliance risks - c</w:t>
      </w:r>
      <w:r w:rsidRPr="000A64C3">
        <w:rPr>
          <w:i/>
        </w:rPr>
        <w:t>ompliance register</w:t>
      </w:r>
      <w:r>
        <w:rPr>
          <w:i/>
        </w:rPr>
        <w:t xml:space="preserve"> and board planner </w:t>
      </w:r>
      <w:r w:rsidR="00D77EB6">
        <w:rPr>
          <w:i/>
        </w:rPr>
        <w:t>has been prepared to ensure timely monitoring of major action items;</w:t>
      </w:r>
    </w:p>
    <w:p w:rsidR="00225883" w:rsidRPr="000A64C3" w:rsidRDefault="00225883" w:rsidP="00225883">
      <w:pPr>
        <w:rPr>
          <w:i/>
        </w:rPr>
      </w:pPr>
      <w:r w:rsidRPr="000A64C3">
        <w:rPr>
          <w:i/>
        </w:rPr>
        <w:t>2.      Bu</w:t>
      </w:r>
      <w:r w:rsidR="00D77EB6">
        <w:rPr>
          <w:i/>
        </w:rPr>
        <w:t>ilding Condition Assessment – a major and on-going focus of</w:t>
      </w:r>
      <w:r w:rsidR="00DD73F6">
        <w:rPr>
          <w:i/>
        </w:rPr>
        <w:t xml:space="preserve"> attention; new initiative</w:t>
      </w:r>
      <w:r w:rsidR="00D77EB6">
        <w:rPr>
          <w:i/>
        </w:rPr>
        <w:t>s</w:t>
      </w:r>
      <w:r w:rsidR="00DD73F6">
        <w:rPr>
          <w:i/>
        </w:rPr>
        <w:t xml:space="preserve"> include</w:t>
      </w:r>
      <w:r w:rsidRPr="000A64C3">
        <w:rPr>
          <w:i/>
        </w:rPr>
        <w:t xml:space="preserve"> development of detailed</w:t>
      </w:r>
      <w:r w:rsidR="00D77EB6">
        <w:rPr>
          <w:i/>
        </w:rPr>
        <w:t xml:space="preserve"> plans for </w:t>
      </w:r>
      <w:r w:rsidR="00423641">
        <w:rPr>
          <w:i/>
        </w:rPr>
        <w:t>building with contract let to the company’s architectural advisors</w:t>
      </w:r>
      <w:r w:rsidR="00DD73F6">
        <w:rPr>
          <w:i/>
        </w:rPr>
        <w:t xml:space="preserve"> and preparation of a cyclical maintenance schedule</w:t>
      </w:r>
      <w:r w:rsidR="00D77EB6">
        <w:rPr>
          <w:i/>
        </w:rPr>
        <w:t>;</w:t>
      </w:r>
    </w:p>
    <w:p w:rsidR="00225883" w:rsidRPr="000A64C3" w:rsidRDefault="00225883" w:rsidP="00225883">
      <w:pPr>
        <w:rPr>
          <w:i/>
        </w:rPr>
      </w:pPr>
      <w:r w:rsidRPr="000A64C3">
        <w:rPr>
          <w:i/>
        </w:rPr>
        <w:t>3.      Upside risks from further</w:t>
      </w:r>
      <w:r>
        <w:rPr>
          <w:i/>
        </w:rPr>
        <w:t xml:space="preserve"> value enhancement </w:t>
      </w:r>
      <w:r w:rsidR="00D77EB6">
        <w:rPr>
          <w:i/>
        </w:rPr>
        <w:t xml:space="preserve">– further work </w:t>
      </w:r>
      <w:r w:rsidR="00423641">
        <w:rPr>
          <w:i/>
        </w:rPr>
        <w:t xml:space="preserve">is </w:t>
      </w:r>
      <w:r w:rsidR="00D77EB6">
        <w:rPr>
          <w:i/>
        </w:rPr>
        <w:t>being pursued by Strategic Planning Group on key value drivers and high value attribute analysis (further details below);</w:t>
      </w:r>
    </w:p>
    <w:p w:rsidR="00225883" w:rsidRPr="000A64C3" w:rsidRDefault="00225883" w:rsidP="00225883">
      <w:pPr>
        <w:rPr>
          <w:i/>
        </w:rPr>
      </w:pPr>
      <w:r w:rsidRPr="000A64C3">
        <w:rPr>
          <w:i/>
        </w:rPr>
        <w:t>4.      Induction pack and direc</w:t>
      </w:r>
      <w:r w:rsidR="00D77EB6">
        <w:rPr>
          <w:i/>
        </w:rPr>
        <w:t>tors duties and obligations -</w:t>
      </w:r>
      <w:r w:rsidR="00DD73F6">
        <w:rPr>
          <w:i/>
        </w:rPr>
        <w:t>a</w:t>
      </w:r>
      <w:r>
        <w:rPr>
          <w:i/>
        </w:rPr>
        <w:t xml:space="preserve"> seminar </w:t>
      </w:r>
      <w:r w:rsidR="00DD73F6">
        <w:rPr>
          <w:i/>
        </w:rPr>
        <w:t xml:space="preserve">was </w:t>
      </w:r>
      <w:r w:rsidR="00D77EB6">
        <w:rPr>
          <w:i/>
        </w:rPr>
        <w:t>conducted with John Morrissey</w:t>
      </w:r>
      <w:r w:rsidR="00DD73F6">
        <w:rPr>
          <w:i/>
        </w:rPr>
        <w:t xml:space="preserve">, solicitor, </w:t>
      </w:r>
      <w:r w:rsidR="00D77EB6">
        <w:rPr>
          <w:i/>
        </w:rPr>
        <w:t xml:space="preserve">and </w:t>
      </w:r>
      <w:r w:rsidR="00DD73F6">
        <w:rPr>
          <w:i/>
        </w:rPr>
        <w:t>his booklet on key obligations of</w:t>
      </w:r>
      <w:r w:rsidR="00D77EB6">
        <w:rPr>
          <w:i/>
        </w:rPr>
        <w:t xml:space="preserve"> directors </w:t>
      </w:r>
      <w:r w:rsidR="00A36C23">
        <w:rPr>
          <w:i/>
        </w:rPr>
        <w:t xml:space="preserve">was </w:t>
      </w:r>
      <w:r w:rsidR="00D77EB6">
        <w:rPr>
          <w:i/>
        </w:rPr>
        <w:t>distributed to directors;</w:t>
      </w:r>
    </w:p>
    <w:p w:rsidR="00225883" w:rsidRPr="000A64C3" w:rsidRDefault="00225883" w:rsidP="00225883">
      <w:pPr>
        <w:rPr>
          <w:i/>
        </w:rPr>
      </w:pPr>
      <w:r w:rsidRPr="000A64C3">
        <w:rPr>
          <w:i/>
        </w:rPr>
        <w:t>5.      Financial risks to budg</w:t>
      </w:r>
      <w:r>
        <w:rPr>
          <w:i/>
        </w:rPr>
        <w:t xml:space="preserve">et </w:t>
      </w:r>
      <w:r w:rsidR="00D77EB6">
        <w:rPr>
          <w:i/>
        </w:rPr>
        <w:t xml:space="preserve">– </w:t>
      </w:r>
      <w:r w:rsidR="00DD73F6">
        <w:rPr>
          <w:i/>
        </w:rPr>
        <w:t xml:space="preserve">an </w:t>
      </w:r>
      <w:r w:rsidR="00D77EB6">
        <w:rPr>
          <w:i/>
        </w:rPr>
        <w:t>increase in GST</w:t>
      </w:r>
      <w:r w:rsidR="00DD73F6">
        <w:rPr>
          <w:i/>
        </w:rPr>
        <w:t xml:space="preserve"> to 15%</w:t>
      </w:r>
      <w:r w:rsidR="00D77EB6">
        <w:rPr>
          <w:i/>
        </w:rPr>
        <w:t xml:space="preserve">, which seemed likely at the time of last year’s AGM, has receded.  Continuing low inflation is assisting with </w:t>
      </w:r>
      <w:r w:rsidR="00DD73F6">
        <w:rPr>
          <w:i/>
        </w:rPr>
        <w:t>cost containment strategies.  An o</w:t>
      </w:r>
      <w:r w:rsidR="00423641">
        <w:rPr>
          <w:i/>
        </w:rPr>
        <w:t xml:space="preserve">ption of accelerating capital works using borrowed funds </w:t>
      </w:r>
      <w:r w:rsidR="00DD73F6">
        <w:rPr>
          <w:i/>
        </w:rPr>
        <w:t xml:space="preserve">was </w:t>
      </w:r>
      <w:r w:rsidR="00423641">
        <w:rPr>
          <w:i/>
        </w:rPr>
        <w:t>reviewed and rejected based on the low risk rating for these factors.</w:t>
      </w:r>
      <w:r w:rsidR="00D77EB6">
        <w:rPr>
          <w:i/>
        </w:rPr>
        <w:t xml:space="preserve">  </w:t>
      </w:r>
    </w:p>
    <w:p w:rsidR="00225883" w:rsidRPr="000A64C3" w:rsidRDefault="00225883" w:rsidP="00225883">
      <w:pPr>
        <w:rPr>
          <w:i/>
        </w:rPr>
      </w:pPr>
      <w:r w:rsidRPr="000A64C3">
        <w:rPr>
          <w:i/>
        </w:rPr>
        <w:t xml:space="preserve">6.      Insurance policies coverage review </w:t>
      </w:r>
      <w:r w:rsidR="00D77EB6">
        <w:rPr>
          <w:i/>
        </w:rPr>
        <w:t>–</w:t>
      </w:r>
      <w:r w:rsidR="009C60F0">
        <w:rPr>
          <w:i/>
        </w:rPr>
        <w:t>a</w:t>
      </w:r>
      <w:r w:rsidR="00D77EB6">
        <w:rPr>
          <w:i/>
        </w:rPr>
        <w:t xml:space="preserve"> review </w:t>
      </w:r>
      <w:r w:rsidR="009C60F0">
        <w:rPr>
          <w:i/>
        </w:rPr>
        <w:t xml:space="preserve">was </w:t>
      </w:r>
      <w:r w:rsidR="00D77EB6">
        <w:rPr>
          <w:i/>
        </w:rPr>
        <w:t>conducted with Richard Dunn, the company’s insurance broker with follow up on level of cover and types of risks insured;</w:t>
      </w:r>
      <w:r w:rsidR="00423641">
        <w:rPr>
          <w:i/>
        </w:rPr>
        <w:t xml:space="preserve"> existing policies assessed as appropriate;</w:t>
      </w:r>
      <w:r w:rsidR="00807F43">
        <w:rPr>
          <w:i/>
        </w:rPr>
        <w:t xml:space="preserve"> additionally the status of the electrical wiring upgrade has been fully disclosed and noted by the insurers;</w:t>
      </w:r>
    </w:p>
    <w:p w:rsidR="00225883" w:rsidRDefault="00225883" w:rsidP="00225883">
      <w:pPr>
        <w:rPr>
          <w:i/>
        </w:rPr>
      </w:pPr>
      <w:r w:rsidRPr="000A64C3">
        <w:rPr>
          <w:i/>
        </w:rPr>
        <w:lastRenderedPageBreak/>
        <w:t>7.      Successi</w:t>
      </w:r>
      <w:r>
        <w:rPr>
          <w:i/>
        </w:rPr>
        <w:t xml:space="preserve">on planning </w:t>
      </w:r>
      <w:r w:rsidR="00D77EB6">
        <w:rPr>
          <w:i/>
        </w:rPr>
        <w:t xml:space="preserve">– two new directors </w:t>
      </w:r>
      <w:r w:rsidR="009C60F0">
        <w:rPr>
          <w:i/>
        </w:rPr>
        <w:t xml:space="preserve">were </w:t>
      </w:r>
      <w:r w:rsidR="00D77EB6">
        <w:rPr>
          <w:i/>
        </w:rPr>
        <w:t>recruited to replace retiring members of the board.</w:t>
      </w:r>
      <w:r w:rsidR="00423641">
        <w:rPr>
          <w:i/>
        </w:rPr>
        <w:t xml:space="preserve">  Longer term succession planning is under consideration to ensure a balance of skills and experience among directors.</w:t>
      </w:r>
    </w:p>
    <w:p w:rsidR="00423641" w:rsidRDefault="00423641" w:rsidP="00225883">
      <w:r>
        <w:t xml:space="preserve">As noted at point 3 above, the SPG has also built on the work published last year relating to residential property values at “Twenty”.  The more recent work in this area is focussing on high value apartments in the immediate vicinity of “Twenty” and a consideration of the factors that drive the exceptional results for these units.  High value in this context is defined as sales greater than $5,000,000.  For example, the immediate neighbouring properties on both sides of “Twenty” have recorded sales in this range.  This work helps to provide guidance to directors on the factors that contribute to capital appreciation so that, where applicable, these factors can be enhanced at “Twenty”.  This project is continuing and in next year’s Report further details on key findings will be provided. </w:t>
      </w:r>
    </w:p>
    <w:p w:rsidR="00EF339D" w:rsidRPr="00BC45FE" w:rsidRDefault="00EF339D" w:rsidP="00BC45FE">
      <w:pPr>
        <w:pStyle w:val="Subtitle"/>
        <w:rPr>
          <w:color w:val="002060"/>
        </w:rPr>
      </w:pPr>
    </w:p>
    <w:sectPr w:rsidR="00EF339D" w:rsidRPr="00BC45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251" w:rsidRDefault="005B1251" w:rsidP="00BC7E63">
      <w:pPr>
        <w:spacing w:after="0" w:line="240" w:lineRule="auto"/>
      </w:pPr>
      <w:r>
        <w:separator/>
      </w:r>
    </w:p>
  </w:endnote>
  <w:endnote w:type="continuationSeparator" w:id="0">
    <w:p w:rsidR="005B1251" w:rsidRDefault="005B1251" w:rsidP="00BC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251" w:rsidRDefault="005B1251" w:rsidP="00BC7E63">
      <w:pPr>
        <w:spacing w:after="0" w:line="240" w:lineRule="auto"/>
      </w:pPr>
      <w:r>
        <w:separator/>
      </w:r>
    </w:p>
  </w:footnote>
  <w:footnote w:type="continuationSeparator" w:id="0">
    <w:p w:rsidR="005B1251" w:rsidRDefault="005B1251" w:rsidP="00BC7E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B3CB9"/>
    <w:multiLevelType w:val="hybridMultilevel"/>
    <w:tmpl w:val="6E0C4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62"/>
    <w:rsid w:val="00002A3B"/>
    <w:rsid w:val="00020C79"/>
    <w:rsid w:val="00024F61"/>
    <w:rsid w:val="00047E5C"/>
    <w:rsid w:val="00053438"/>
    <w:rsid w:val="000C3DB0"/>
    <w:rsid w:val="000F5746"/>
    <w:rsid w:val="00115443"/>
    <w:rsid w:val="001841BD"/>
    <w:rsid w:val="001E59B9"/>
    <w:rsid w:val="001F53D2"/>
    <w:rsid w:val="00225883"/>
    <w:rsid w:val="002260A6"/>
    <w:rsid w:val="0023335D"/>
    <w:rsid w:val="00243298"/>
    <w:rsid w:val="00286C83"/>
    <w:rsid w:val="002D52CD"/>
    <w:rsid w:val="003209D3"/>
    <w:rsid w:val="00337A62"/>
    <w:rsid w:val="00365FA4"/>
    <w:rsid w:val="003A683F"/>
    <w:rsid w:val="003B0E95"/>
    <w:rsid w:val="003B2757"/>
    <w:rsid w:val="003B2794"/>
    <w:rsid w:val="00423641"/>
    <w:rsid w:val="00425A94"/>
    <w:rsid w:val="004746AB"/>
    <w:rsid w:val="004D3AF8"/>
    <w:rsid w:val="005267B8"/>
    <w:rsid w:val="00573532"/>
    <w:rsid w:val="005B1251"/>
    <w:rsid w:val="005B3D5D"/>
    <w:rsid w:val="005F3F98"/>
    <w:rsid w:val="006271DF"/>
    <w:rsid w:val="00666351"/>
    <w:rsid w:val="006856F0"/>
    <w:rsid w:val="006C61F3"/>
    <w:rsid w:val="006D76E8"/>
    <w:rsid w:val="006F05D2"/>
    <w:rsid w:val="00702FA5"/>
    <w:rsid w:val="0075425C"/>
    <w:rsid w:val="007748C4"/>
    <w:rsid w:val="007A0B5D"/>
    <w:rsid w:val="00807F43"/>
    <w:rsid w:val="008A021C"/>
    <w:rsid w:val="00910D12"/>
    <w:rsid w:val="009146F8"/>
    <w:rsid w:val="00931CEB"/>
    <w:rsid w:val="009C231F"/>
    <w:rsid w:val="009C60F0"/>
    <w:rsid w:val="00A36C23"/>
    <w:rsid w:val="00A4691F"/>
    <w:rsid w:val="00AE79E8"/>
    <w:rsid w:val="00B535D0"/>
    <w:rsid w:val="00BC45FE"/>
    <w:rsid w:val="00BC7E63"/>
    <w:rsid w:val="00BD0232"/>
    <w:rsid w:val="00C035A9"/>
    <w:rsid w:val="00C83544"/>
    <w:rsid w:val="00C8572E"/>
    <w:rsid w:val="00CA08D6"/>
    <w:rsid w:val="00D03C57"/>
    <w:rsid w:val="00D360D1"/>
    <w:rsid w:val="00D77EB6"/>
    <w:rsid w:val="00DB4E65"/>
    <w:rsid w:val="00DD73F6"/>
    <w:rsid w:val="00EB663A"/>
    <w:rsid w:val="00ED0AC3"/>
    <w:rsid w:val="00ED5E6E"/>
    <w:rsid w:val="00EF339D"/>
    <w:rsid w:val="00EF4062"/>
    <w:rsid w:val="00F0570B"/>
    <w:rsid w:val="00F06DD4"/>
    <w:rsid w:val="00F30E00"/>
    <w:rsid w:val="00F634C7"/>
    <w:rsid w:val="00F86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45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C83"/>
    <w:pPr>
      <w:ind w:left="720"/>
      <w:contextualSpacing/>
    </w:pPr>
  </w:style>
  <w:style w:type="paragraph" w:styleId="BalloonText">
    <w:name w:val="Balloon Text"/>
    <w:basedOn w:val="Normal"/>
    <w:link w:val="BalloonTextChar"/>
    <w:uiPriority w:val="99"/>
    <w:semiHidden/>
    <w:unhideWhenUsed/>
    <w:rsid w:val="00CA0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8D6"/>
    <w:rPr>
      <w:rFonts w:ascii="Tahoma" w:hAnsi="Tahoma" w:cs="Tahoma"/>
      <w:sz w:val="16"/>
      <w:szCs w:val="16"/>
    </w:rPr>
  </w:style>
  <w:style w:type="paragraph" w:styleId="Title">
    <w:name w:val="Title"/>
    <w:basedOn w:val="Normal"/>
    <w:next w:val="Normal"/>
    <w:link w:val="TitleChar"/>
    <w:uiPriority w:val="10"/>
    <w:qFormat/>
    <w:rsid w:val="00BC45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45F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C45FE"/>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C45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45F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C7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E63"/>
  </w:style>
  <w:style w:type="paragraph" w:styleId="Footer">
    <w:name w:val="footer"/>
    <w:basedOn w:val="Normal"/>
    <w:link w:val="FooterChar"/>
    <w:uiPriority w:val="99"/>
    <w:unhideWhenUsed/>
    <w:rsid w:val="00BC7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E63"/>
  </w:style>
  <w:style w:type="paragraph" w:styleId="NormalWeb">
    <w:name w:val="Normal (Web)"/>
    <w:basedOn w:val="Normal"/>
    <w:uiPriority w:val="99"/>
    <w:semiHidden/>
    <w:unhideWhenUsed/>
    <w:rsid w:val="00053438"/>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45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C83"/>
    <w:pPr>
      <w:ind w:left="720"/>
      <w:contextualSpacing/>
    </w:pPr>
  </w:style>
  <w:style w:type="paragraph" w:styleId="BalloonText">
    <w:name w:val="Balloon Text"/>
    <w:basedOn w:val="Normal"/>
    <w:link w:val="BalloonTextChar"/>
    <w:uiPriority w:val="99"/>
    <w:semiHidden/>
    <w:unhideWhenUsed/>
    <w:rsid w:val="00CA0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8D6"/>
    <w:rPr>
      <w:rFonts w:ascii="Tahoma" w:hAnsi="Tahoma" w:cs="Tahoma"/>
      <w:sz w:val="16"/>
      <w:szCs w:val="16"/>
    </w:rPr>
  </w:style>
  <w:style w:type="paragraph" w:styleId="Title">
    <w:name w:val="Title"/>
    <w:basedOn w:val="Normal"/>
    <w:next w:val="Normal"/>
    <w:link w:val="TitleChar"/>
    <w:uiPriority w:val="10"/>
    <w:qFormat/>
    <w:rsid w:val="00BC45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45F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C45FE"/>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C45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45F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C7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E63"/>
  </w:style>
  <w:style w:type="paragraph" w:styleId="Footer">
    <w:name w:val="footer"/>
    <w:basedOn w:val="Normal"/>
    <w:link w:val="FooterChar"/>
    <w:uiPriority w:val="99"/>
    <w:unhideWhenUsed/>
    <w:rsid w:val="00BC7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E63"/>
  </w:style>
  <w:style w:type="paragraph" w:styleId="NormalWeb">
    <w:name w:val="Normal (Web)"/>
    <w:basedOn w:val="Normal"/>
    <w:uiPriority w:val="99"/>
    <w:semiHidden/>
    <w:unhideWhenUsed/>
    <w:rsid w:val="00053438"/>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95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C435D-6C37-4FC8-B45D-6EE6DF3C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6373</TotalTime>
  <Pages>8</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36</cp:revision>
  <cp:lastPrinted>2016-09-18T23:05:00Z</cp:lastPrinted>
  <dcterms:created xsi:type="dcterms:W3CDTF">2016-09-10T06:44:00Z</dcterms:created>
  <dcterms:modified xsi:type="dcterms:W3CDTF">2016-10-30T21:29:00Z</dcterms:modified>
</cp:coreProperties>
</file>